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45EE7E2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关于许昌市中心城区地下综合管网提升</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项目申报政府专项债财务评价服务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二</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C6DF98A">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default" w:ascii="Times New Roman" w:hAnsi="Times New Roman" w:eastAsia="仿宋_GB2312" w:cs="Times New Roman"/>
          <w:sz w:val="32"/>
          <w:szCs w:val="32"/>
          <w:lang w:val="en-US" w:eastAsia="zh-CN"/>
        </w:rPr>
        <w:t>许昌建投交通发展有限公司</w:t>
      </w:r>
      <w:r>
        <w:rPr>
          <w:rFonts w:hint="default" w:ascii="Times New Roman" w:hAnsi="Times New Roman" w:eastAsia="仿宋_GB2312" w:cs="Times New Roman"/>
          <w:color w:val="auto"/>
          <w:sz w:val="32"/>
          <w:szCs w:val="32"/>
          <w:lang w:val="en-US" w:eastAsia="zh-CN"/>
        </w:rPr>
        <w:t>（以下简称“比选人”）拟通过比</w:t>
      </w:r>
      <w:r>
        <w:rPr>
          <w:rFonts w:hint="default" w:ascii="Times New Roman" w:hAnsi="Times New Roman" w:eastAsia="仿宋_GB2312" w:cs="Times New Roman"/>
          <w:sz w:val="32"/>
          <w:szCs w:val="32"/>
          <w:lang w:val="en-US" w:eastAsia="zh-CN"/>
        </w:rPr>
        <w:t>选方式选取一家有资质的</w:t>
      </w:r>
      <w:r>
        <w:rPr>
          <w:rFonts w:hint="eastAsia" w:eastAsia="仿宋_GB2312" w:cs="Times New Roman"/>
          <w:sz w:val="32"/>
          <w:szCs w:val="32"/>
          <w:lang w:val="en-US" w:eastAsia="zh-CN"/>
        </w:rPr>
        <w:t>会计师事务所</w:t>
      </w:r>
      <w:r>
        <w:rPr>
          <w:rFonts w:hint="default" w:ascii="Times New Roman" w:hAnsi="Times New Roman" w:eastAsia="仿宋_GB2312" w:cs="Times New Roman"/>
          <w:sz w:val="32"/>
          <w:szCs w:val="32"/>
          <w:lang w:val="en-US" w:eastAsia="zh-CN"/>
        </w:rPr>
        <w:t>对</w:t>
      </w:r>
      <w:r>
        <w:rPr>
          <w:rFonts w:hint="eastAsia" w:ascii="仿宋_GB2312" w:hAnsi="仿宋_GB2312" w:eastAsia="仿宋_GB2312" w:cs="仿宋_GB2312"/>
          <w:i w:val="0"/>
          <w:iCs w:val="0"/>
          <w:caps w:val="0"/>
          <w:spacing w:val="8"/>
          <w:sz w:val="32"/>
          <w:szCs w:val="32"/>
          <w:shd w:val="clear" w:color="auto" w:fill="FFFFFF"/>
          <w:lang w:val="en-US" w:eastAsia="zh-CN"/>
        </w:rPr>
        <w:t>许昌市中心城区地下综合管网提升项目</w:t>
      </w:r>
      <w:r>
        <w:rPr>
          <w:rFonts w:hint="default" w:ascii="Times New Roman" w:hAnsi="Times New Roman" w:eastAsia="仿宋_GB2312" w:cs="Times New Roman"/>
          <w:color w:val="auto"/>
          <w:sz w:val="32"/>
          <w:szCs w:val="32"/>
          <w:lang w:val="en-US" w:eastAsia="zh-CN"/>
        </w:rPr>
        <w:t>申报政府专项债提供</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color w:val="auto"/>
          <w:sz w:val="32"/>
          <w:szCs w:val="32"/>
          <w:lang w:val="en-US" w:eastAsia="zh-CN"/>
        </w:rPr>
        <w:t>现诚邀符合资格条件的公司参加。</w:t>
      </w:r>
    </w:p>
    <w:p w14:paraId="6E35DA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34ACD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ascii="仿宋_GB2312" w:hAnsi="仿宋_GB2312" w:eastAsia="仿宋_GB2312" w:cs="仿宋_GB2312"/>
          <w:i w:val="0"/>
          <w:iCs w:val="0"/>
          <w:caps w:val="0"/>
          <w:spacing w:val="8"/>
          <w:sz w:val="32"/>
          <w:szCs w:val="32"/>
          <w:shd w:val="clear" w:color="auto" w:fill="FFFFFF"/>
          <w:lang w:val="en-US" w:eastAsia="zh-CN"/>
        </w:rPr>
        <w:t>许昌市中心城区地下综合管网提升项目</w:t>
      </w:r>
      <w:r>
        <w:rPr>
          <w:rFonts w:hint="default" w:ascii="Times New Roman" w:hAnsi="Times New Roman" w:eastAsia="仿宋_GB2312" w:cs="Times New Roman"/>
          <w:color w:val="auto"/>
          <w:sz w:val="32"/>
          <w:szCs w:val="32"/>
          <w:lang w:val="en-US" w:eastAsia="zh-CN"/>
        </w:rPr>
        <w:t>申报政府专项债</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color w:val="auto"/>
          <w:sz w:val="32"/>
          <w:szCs w:val="32"/>
          <w:lang w:val="en-US" w:eastAsia="zh-CN"/>
        </w:rPr>
        <w:t>服务</w:t>
      </w:r>
    </w:p>
    <w:p w14:paraId="729EC2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许昌建投交通发展有限公司</w:t>
      </w:r>
    </w:p>
    <w:p w14:paraId="03BFA9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3.在本次申报专项债过程中，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000000"/>
          <w:kern w:val="0"/>
          <w:sz w:val="32"/>
          <w:szCs w:val="32"/>
          <w:highlight w:val="none"/>
          <w:lang w:val="en-US" w:eastAsia="zh-CN" w:bidi="ar"/>
        </w:rPr>
        <w:t>项目相关</w:t>
      </w:r>
      <w:r>
        <w:rPr>
          <w:rFonts w:hint="eastAsia" w:eastAsia="仿宋_GB2312" w:cs="Times New Roman"/>
          <w:color w:val="000000"/>
          <w:kern w:val="0"/>
          <w:sz w:val="32"/>
          <w:szCs w:val="32"/>
          <w:highlight w:val="none"/>
          <w:lang w:val="en-US" w:eastAsia="zh-CN" w:bidi="ar"/>
        </w:rPr>
        <w:t>财务评价</w:t>
      </w:r>
      <w:r>
        <w:rPr>
          <w:rFonts w:hint="default" w:ascii="Times New Roman" w:hAnsi="Times New Roman" w:eastAsia="仿宋_GB2312" w:cs="Times New Roman"/>
          <w:color w:val="000000"/>
          <w:kern w:val="0"/>
          <w:sz w:val="32"/>
          <w:szCs w:val="32"/>
          <w:highlight w:val="none"/>
          <w:lang w:val="en-US" w:eastAsia="zh-CN" w:bidi="ar"/>
        </w:rPr>
        <w:t>服务，并出具《收益与融资自求平衡专项评价报告》</w:t>
      </w:r>
      <w:r>
        <w:rPr>
          <w:rFonts w:hint="default" w:ascii="Times New Roman" w:hAnsi="Times New Roman" w:eastAsia="仿宋_GB2312" w:cs="Times New Roman"/>
          <w:color w:val="auto"/>
          <w:sz w:val="32"/>
          <w:szCs w:val="32"/>
          <w:lang w:val="en-US" w:eastAsia="zh-CN"/>
        </w:rPr>
        <w:t>，对报告中</w:t>
      </w:r>
      <w:r>
        <w:rPr>
          <w:rFonts w:hint="default" w:ascii="Times New Roman" w:hAnsi="Times New Roman" w:eastAsia="仿宋_GB2312" w:cs="Times New Roman"/>
          <w:color w:val="auto"/>
          <w:sz w:val="32"/>
          <w:szCs w:val="32"/>
          <w:lang w:eastAsia="zh-CN"/>
        </w:rPr>
        <w:t>相关数据</w:t>
      </w:r>
      <w:r>
        <w:rPr>
          <w:rFonts w:hint="default"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lang w:eastAsia="zh-CN"/>
        </w:rPr>
        <w:t>审查整理工作，</w:t>
      </w:r>
      <w:r>
        <w:rPr>
          <w:rFonts w:hint="default" w:ascii="Times New Roman" w:hAnsi="Times New Roman" w:eastAsia="仿宋_GB2312" w:cs="Times New Roman"/>
          <w:color w:val="auto"/>
          <w:sz w:val="32"/>
          <w:szCs w:val="32"/>
          <w:lang w:val="en-US" w:eastAsia="zh-CN"/>
        </w:rPr>
        <w:t>出具正式版报告</w:t>
      </w:r>
      <w:r>
        <w:rPr>
          <w:rFonts w:hint="eastAsia" w:eastAsia="仿宋_GB2312" w:cs="Times New Roman"/>
          <w:color w:val="auto"/>
          <w:sz w:val="32"/>
          <w:szCs w:val="32"/>
          <w:lang w:eastAsia="zh-CN"/>
        </w:rPr>
        <w:t>。</w:t>
      </w:r>
    </w:p>
    <w:p w14:paraId="40F65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079555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6446E0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4BB78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746EB9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2.具备出具申报政府专项债相关</w:t>
      </w:r>
      <w:r>
        <w:rPr>
          <w:rFonts w:hint="eastAsia" w:eastAsia="仿宋_GB2312" w:cs="Times New Roman"/>
          <w:color w:val="auto"/>
          <w:sz w:val="32"/>
          <w:szCs w:val="32"/>
          <w:highlight w:val="none"/>
          <w:lang w:val="en-US" w:eastAsia="zh-CN"/>
        </w:rPr>
        <w:t>财务评价</w:t>
      </w:r>
      <w:r>
        <w:rPr>
          <w:rFonts w:hint="default" w:ascii="Times New Roman" w:hAnsi="Times New Roman" w:eastAsia="仿宋_GB2312" w:cs="Times New Roman"/>
          <w:color w:val="auto"/>
          <w:sz w:val="32"/>
          <w:szCs w:val="32"/>
          <w:highlight w:val="none"/>
          <w:lang w:val="en-US" w:eastAsia="zh-CN"/>
        </w:rPr>
        <w:t>报告的成功经验；</w:t>
      </w:r>
    </w:p>
    <w:p w14:paraId="3F62DB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627E22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272B52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4892E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3970FD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4FDC62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w:t>
      </w:r>
      <w:r>
        <w:rPr>
          <w:rFonts w:hint="eastAsia"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lang w:eastAsia="zh-CN"/>
        </w:rPr>
        <w:t>前将投标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5F17EE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731FEB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703ABA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6FA1025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5A7223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3B955B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6F315F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6BCA85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万元。</w:t>
      </w:r>
    </w:p>
    <w:p w14:paraId="5CBC03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2ED213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795"/>
      <w:bookmarkEnd w:id="0"/>
      <w:bookmarkStart w:id="1" w:name="_Toc28359085"/>
      <w:bookmarkEnd w:id="1"/>
      <w:bookmarkStart w:id="2" w:name="_Toc28359008"/>
      <w:bookmarkEnd w:id="2"/>
      <w:bookmarkStart w:id="3" w:name="_Toc35393627"/>
      <w:bookmarkEnd w:id="3"/>
      <w:bookmarkStart w:id="4" w:name="_Toc35393626"/>
      <w:bookmarkEnd w:id="4"/>
      <w:bookmarkStart w:id="5" w:name="_Toc35393796"/>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7E3984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sz w:val="32"/>
          <w:szCs w:val="32"/>
          <w:lang w:val="en-US" w:eastAsia="zh-CN"/>
        </w:rPr>
        <w:t>许昌建投交通发展有限公司</w:t>
      </w:r>
    </w:p>
    <w:p w14:paraId="4F26DA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3410DC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GB" w:eastAsia="zh-CN"/>
        </w:rPr>
        <w:t xml:space="preserve">        </w:t>
      </w:r>
    </w:p>
    <w:p w14:paraId="3E6011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5EC24E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424E0CF0">
      <w:pPr>
        <w:pStyle w:val="14"/>
        <w:rPr>
          <w:rFonts w:hint="eastAsia" w:ascii="仿宋" w:hAnsi="仿宋" w:eastAsia="仿宋" w:cs="仿宋"/>
          <w:b/>
          <w:bCs/>
          <w:color w:val="auto"/>
          <w:sz w:val="24"/>
          <w:szCs w:val="24"/>
        </w:rPr>
      </w:pPr>
    </w:p>
    <w:p w14:paraId="2724E0E0">
      <w:pPr>
        <w:pStyle w:val="15"/>
        <w:rPr>
          <w:rFonts w:hint="eastAsia"/>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1.在本次申报政府专项债过程中，配合“比选人”完成项目相关数据审查整理工作。</w:t>
      </w:r>
    </w:p>
    <w:p w14:paraId="4CBF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2.对</w:t>
      </w:r>
      <w:r>
        <w:rPr>
          <w:rFonts w:hint="default" w:ascii="仿宋_GB2312" w:hAnsi="仿宋_GB2312" w:eastAsia="仿宋_GB2312" w:cs="仿宋_GB2312"/>
          <w:color w:val="auto"/>
          <w:sz w:val="32"/>
          <w:szCs w:val="32"/>
          <w:lang w:val="en-US" w:eastAsia="zh-CN"/>
        </w:rPr>
        <w:t>许昌市胖东来天使城生活服务圈公共停车及配套设施提升工程</w:t>
      </w:r>
      <w:r>
        <w:rPr>
          <w:rFonts w:hint="eastAsia" w:ascii="仿宋_GB2312" w:hAnsi="仿宋_GB2312" w:eastAsia="仿宋_GB2312" w:cs="仿宋_GB2312"/>
          <w:color w:val="auto"/>
          <w:sz w:val="32"/>
          <w:szCs w:val="32"/>
          <w:lang w:val="en-US" w:eastAsia="zh-CN"/>
        </w:rPr>
        <w:t>申报政府专项债</w:t>
      </w:r>
      <w:r>
        <w:rPr>
          <w:rFonts w:hint="eastAsia" w:ascii="仿宋_GB2312" w:hAnsi="仿宋_GB2312" w:eastAsia="仿宋_GB2312" w:cs="仿宋_GB2312"/>
          <w:sz w:val="32"/>
          <w:szCs w:val="32"/>
          <w:lang w:val="en-US" w:eastAsia="zh-CN"/>
        </w:rPr>
        <w:t>提供审计服务并出</w:t>
      </w:r>
      <w:r>
        <w:rPr>
          <w:rFonts w:hint="eastAsia" w:ascii="仿宋_GB2312" w:hAnsi="仿宋_GB2312" w:eastAsia="仿宋_GB2312" w:cs="仿宋_GB2312"/>
          <w:sz w:val="32"/>
          <w:szCs w:val="32"/>
          <w:highlight w:val="none"/>
          <w:lang w:val="en-US" w:eastAsia="zh-CN"/>
        </w:rPr>
        <w:t>具相关报告。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3.对本次报告编制过程中涉及的财务各方面问题，进行分析答疑。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w:t>
      </w:r>
      <w:r>
        <w:rPr>
          <w:rFonts w:hint="eastAsia" w:ascii="仿宋_GB2312" w:hAnsi="仿宋_GB2312" w:eastAsia="仿宋_GB2312" w:cs="仿宋_GB2312"/>
          <w:color w:val="auto"/>
          <w:sz w:val="32"/>
          <w:szCs w:val="32"/>
          <w:highlight w:val="none"/>
          <w:lang w:val="en-US" w:eastAsia="zh-CN"/>
        </w:rPr>
        <w:t>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ascii="仿宋_GB2312" w:hAnsi="仿宋_GB2312" w:eastAsia="仿宋_GB2312" w:cs="仿宋_GB2312"/>
          <w:color w:val="auto"/>
          <w:sz w:val="32"/>
          <w:szCs w:val="32"/>
          <w:highlight w:val="none"/>
          <w:lang w:val="en-US" w:eastAsia="zh-CN"/>
        </w:rPr>
        <w:t>不得以任何理由延迟交付。服务期限自中标结果公示之日起，到项目完成政府专项债申报工作，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highlight w:val="none"/>
          <w:lang w:val="en-US" w:eastAsia="zh-CN"/>
        </w:rPr>
        <w:t>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TW"/>
        </w:rPr>
      </w:pPr>
      <w:r>
        <w:rPr>
          <w:rFonts w:hint="eastAsia" w:ascii="仿宋_GB2312" w:hAnsi="仿宋_GB2312" w:eastAsia="仿宋_GB2312" w:cs="仿宋_GB2312"/>
          <w:color w:val="auto"/>
          <w:sz w:val="32"/>
          <w:szCs w:val="32"/>
          <w:highlight w:val="none"/>
          <w:lang w:val="en-US" w:eastAsia="zh-TW"/>
        </w:rPr>
        <w:t>以上要求</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因中标人的过失，给</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lang w:eastAsia="zh-TW"/>
        </w:rPr>
        <w:t>或委托人造成经济损失的，应当依法赔偿</w:t>
      </w:r>
      <w:r>
        <w:rPr>
          <w:rFonts w:hint="eastAsia" w:ascii="仿宋_GB2312" w:hAnsi="仿宋_GB2312" w:eastAsia="仿宋_GB2312" w:cs="仿宋_GB2312"/>
          <w:color w:val="auto"/>
          <w:sz w:val="32"/>
          <w:szCs w:val="32"/>
          <w:highlight w:val="none"/>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获得满足项目申请政府专项债要求的《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10万元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财务评价服务合同约定执行。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许昌市中心城区地下综合管网提升项目</w:t>
            </w:r>
            <w:r>
              <w:rPr>
                <w:rFonts w:hint="default" w:ascii="仿宋" w:hAnsi="仿宋" w:eastAsia="仿宋" w:cs="仿宋"/>
                <w:color w:val="auto"/>
                <w:sz w:val="24"/>
                <w:szCs w:val="24"/>
                <w:lang w:val="en-US" w:eastAsia="zh-CN"/>
              </w:rPr>
              <w:t>申报政府专项债</w:t>
            </w:r>
            <w:r>
              <w:rPr>
                <w:rFonts w:hint="eastAsia" w:ascii="仿宋" w:hAnsi="仿宋" w:eastAsia="仿宋" w:cs="仿宋"/>
                <w:color w:val="auto"/>
                <w:sz w:val="24"/>
                <w:szCs w:val="24"/>
                <w:lang w:val="en-US" w:eastAsia="zh-CN"/>
              </w:rPr>
              <w:t>财务评价</w:t>
            </w:r>
            <w:r>
              <w:rPr>
                <w:rFonts w:hint="default" w:ascii="仿宋" w:hAnsi="仿宋" w:eastAsia="仿宋" w:cs="仿宋"/>
                <w:color w:val="auto"/>
                <w:sz w:val="24"/>
                <w:szCs w:val="24"/>
                <w:lang w:val="en-US" w:eastAsia="zh-CN"/>
              </w:rPr>
              <w:t>服务</w:t>
            </w:r>
          </w:p>
          <w:p w14:paraId="7AF5F8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在本次申报专项债过程中，配合“比选人”完成项目相关财务评价咨询服务，并出具《收益与融资自求平衡专项评价报告》，对报告中相关数据进行审查整理工作，出具正式版报告；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68F58A0E">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在中华人民共和国境内注册，具备独立法人资格，持有合法有效的企业法人营业执照；</w:t>
            </w:r>
          </w:p>
          <w:p w14:paraId="28C0BDA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2.具备出具申报政府专项债相关财务评价报告的成功经验；</w:t>
            </w:r>
          </w:p>
          <w:p w14:paraId="434B8F29">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E41008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2月28日17</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10万元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服务本次审计咨询业务的团队成员，每有1名注册会计师或取得中级及以上会计职称的得5分，最高20分。</w:t>
            </w:r>
            <w:r>
              <w:rPr>
                <w:rFonts w:hint="eastAsia" w:ascii="Times New Roman" w:hAnsi="Times New Roman" w:eastAsia="仿宋" w:cs="Times New Roman"/>
                <w:color w:val="000000"/>
                <w:kern w:val="0"/>
                <w:sz w:val="28"/>
                <w:szCs w:val="28"/>
                <w:highlight w:val="none"/>
                <w:lang w:val="en-US" w:eastAsia="zh-CN" w:bidi="ar"/>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D304C23">
            <w:pPr>
              <w:tabs>
                <w:tab w:val="left" w:pos="622"/>
              </w:tabs>
              <w:spacing w:line="440" w:lineRule="exact"/>
              <w:jc w:val="left"/>
              <w:rPr>
                <w:rFonts w:hint="eastAsia" w:ascii="宋体" w:hAnsi="宋体"/>
                <w:color w:val="auto"/>
                <w:sz w:val="28"/>
                <w:szCs w:val="28"/>
                <w:lang w:val="en-US" w:eastAsia="zh-CN"/>
              </w:rPr>
            </w:pPr>
            <w:r>
              <w:rPr>
                <w:rFonts w:hint="eastAsia" w:ascii="宋体" w:hAnsi="宋体"/>
                <w:color w:val="auto"/>
                <w:sz w:val="28"/>
                <w:szCs w:val="28"/>
                <w:lang w:val="en-US" w:eastAsia="zh-CN"/>
              </w:rPr>
              <w:t>1.提供财务评价咨询服务时间安排优秀的得8—15分，良好的得1—7分，没有不得分；</w:t>
            </w:r>
          </w:p>
          <w:p w14:paraId="2FFE0266">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val="en-US" w:eastAsia="zh-CN"/>
              </w:rPr>
              <w:t>2.服务方案详细、全面、可行，项目申报政府专项债过程中涉及与可研单位、律师事务所、实施方案咨询单位、财政评审人员等协调沟通有关内容、困难问题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153CA00">
            <w:pPr>
              <w:tabs>
                <w:tab w:val="left" w:pos="622"/>
              </w:tabs>
              <w:spacing w:line="440" w:lineRule="exact"/>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每提供一份成功申报政府专项债项目财务评价报告业绩合同证明材料的得5分，最高20分。（服务业绩要求为近三年取得，即2023年1月1日后业绩。）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763B9BB1">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许昌市中心城区地下综合管网提升项目</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申报政府专项债财务评价服务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营业执照等（或会计执业许可材料）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附营业执照等（或会计执业许可材料）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财务评价服务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w:t>
      </w:r>
      <w:bookmarkStart w:id="9" w:name="_GoBack"/>
      <w:bookmarkEnd w:id="9"/>
      <w:r>
        <w:rPr>
          <w:rFonts w:hint="eastAsia" w:ascii="仿宋" w:hAnsi="仿宋" w:eastAsia="仿宋" w:cs="仿宋"/>
          <w:b/>
          <w:strike w:val="0"/>
          <w:dstrike w:val="0"/>
          <w:color w:val="auto"/>
          <w:sz w:val="36"/>
          <w:szCs w:val="36"/>
          <w:shd w:val="clear" w:color="060000" w:fill="auto"/>
          <w:lang w:eastAsia="zh-CN"/>
        </w:rPr>
        <w:t>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9E98CA19-9143-4607-982E-CC8BC7ADD944}"/>
  </w:font>
  <w:font w:name="仿宋">
    <w:panose1 w:val="02010609060101010101"/>
    <w:charset w:val="86"/>
    <w:family w:val="auto"/>
    <w:pitch w:val="default"/>
    <w:sig w:usb0="800002BF" w:usb1="38CF7CFA" w:usb2="00000016" w:usb3="00000000" w:csb0="00040001" w:csb1="00000000"/>
    <w:embedRegular r:id="rId2" w:fontKey="{773EB106-5EB4-4C9A-9980-703EC6821A2A}"/>
  </w:font>
  <w:font w:name="仿宋_GB2312">
    <w:panose1 w:val="02010609030101010101"/>
    <w:charset w:val="86"/>
    <w:family w:val="auto"/>
    <w:pitch w:val="default"/>
    <w:sig w:usb0="00000001" w:usb1="080E0000" w:usb2="00000000" w:usb3="00000000" w:csb0="00040000" w:csb1="00000000"/>
    <w:embedRegular r:id="rId3" w:fontKey="{4D36A00A-C090-40D2-9FD7-84C786D5B9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69744B"/>
    <w:rsid w:val="00740401"/>
    <w:rsid w:val="00E15234"/>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8F4B90"/>
    <w:rsid w:val="08A55595"/>
    <w:rsid w:val="09413E70"/>
    <w:rsid w:val="0949606C"/>
    <w:rsid w:val="095664BF"/>
    <w:rsid w:val="09DE0417"/>
    <w:rsid w:val="0A454A85"/>
    <w:rsid w:val="0B5940BE"/>
    <w:rsid w:val="0C1A784C"/>
    <w:rsid w:val="0C3A33FD"/>
    <w:rsid w:val="0D5D5C42"/>
    <w:rsid w:val="0E1D3A2B"/>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3E41C63"/>
    <w:rsid w:val="13E946D3"/>
    <w:rsid w:val="144917C3"/>
    <w:rsid w:val="14BC1DE8"/>
    <w:rsid w:val="14D507B4"/>
    <w:rsid w:val="154020D1"/>
    <w:rsid w:val="15716122"/>
    <w:rsid w:val="1582093B"/>
    <w:rsid w:val="159633AE"/>
    <w:rsid w:val="15AB5A56"/>
    <w:rsid w:val="162E2871"/>
    <w:rsid w:val="166060ED"/>
    <w:rsid w:val="17175B61"/>
    <w:rsid w:val="1767603B"/>
    <w:rsid w:val="180A079D"/>
    <w:rsid w:val="18243F2C"/>
    <w:rsid w:val="18603991"/>
    <w:rsid w:val="18691943"/>
    <w:rsid w:val="18A8690B"/>
    <w:rsid w:val="18BF3C55"/>
    <w:rsid w:val="19BF6E53"/>
    <w:rsid w:val="19D84FCE"/>
    <w:rsid w:val="19D918FD"/>
    <w:rsid w:val="1A1139B6"/>
    <w:rsid w:val="1A28051C"/>
    <w:rsid w:val="1B161797"/>
    <w:rsid w:val="1C7272F1"/>
    <w:rsid w:val="1DC67833"/>
    <w:rsid w:val="1E9A41EF"/>
    <w:rsid w:val="1EB84FB4"/>
    <w:rsid w:val="1ED90DA1"/>
    <w:rsid w:val="20E81880"/>
    <w:rsid w:val="20FC3C98"/>
    <w:rsid w:val="21924E50"/>
    <w:rsid w:val="22130EA0"/>
    <w:rsid w:val="236D2C2B"/>
    <w:rsid w:val="23911ECE"/>
    <w:rsid w:val="23F8720B"/>
    <w:rsid w:val="24E56118"/>
    <w:rsid w:val="25203CCD"/>
    <w:rsid w:val="25846482"/>
    <w:rsid w:val="259020DD"/>
    <w:rsid w:val="25EB1F94"/>
    <w:rsid w:val="25FA2162"/>
    <w:rsid w:val="27003BFA"/>
    <w:rsid w:val="274A3283"/>
    <w:rsid w:val="274C35FE"/>
    <w:rsid w:val="28163820"/>
    <w:rsid w:val="287C03AF"/>
    <w:rsid w:val="2A7331BD"/>
    <w:rsid w:val="2AA76515"/>
    <w:rsid w:val="2BCE666F"/>
    <w:rsid w:val="2BE179EB"/>
    <w:rsid w:val="2BF87ED1"/>
    <w:rsid w:val="2BFF463C"/>
    <w:rsid w:val="2C0D6146"/>
    <w:rsid w:val="2CBC66AD"/>
    <w:rsid w:val="2CC12172"/>
    <w:rsid w:val="2CEC716A"/>
    <w:rsid w:val="2D2057F2"/>
    <w:rsid w:val="2D835246"/>
    <w:rsid w:val="2E4862BB"/>
    <w:rsid w:val="2EB22C52"/>
    <w:rsid w:val="2EDF2503"/>
    <w:rsid w:val="2F2A6E19"/>
    <w:rsid w:val="2F7215C9"/>
    <w:rsid w:val="30F73708"/>
    <w:rsid w:val="30F863FE"/>
    <w:rsid w:val="310444A3"/>
    <w:rsid w:val="32382BF4"/>
    <w:rsid w:val="33105381"/>
    <w:rsid w:val="33EA3E24"/>
    <w:rsid w:val="342F7C9D"/>
    <w:rsid w:val="36936B79"/>
    <w:rsid w:val="36F44ACE"/>
    <w:rsid w:val="376173AB"/>
    <w:rsid w:val="37700F09"/>
    <w:rsid w:val="37B035DE"/>
    <w:rsid w:val="37ED3CDC"/>
    <w:rsid w:val="38C21BC7"/>
    <w:rsid w:val="39613064"/>
    <w:rsid w:val="3AC916FB"/>
    <w:rsid w:val="3AC9229B"/>
    <w:rsid w:val="3B175C66"/>
    <w:rsid w:val="3BE61A23"/>
    <w:rsid w:val="3C1A7270"/>
    <w:rsid w:val="3C506712"/>
    <w:rsid w:val="3CBB635D"/>
    <w:rsid w:val="3D0E0B83"/>
    <w:rsid w:val="3D804EB1"/>
    <w:rsid w:val="3DBC231B"/>
    <w:rsid w:val="3DC33DF0"/>
    <w:rsid w:val="3DCD7A37"/>
    <w:rsid w:val="3E4E5804"/>
    <w:rsid w:val="3E5F540E"/>
    <w:rsid w:val="404F2B3D"/>
    <w:rsid w:val="409E1FAE"/>
    <w:rsid w:val="409F25A6"/>
    <w:rsid w:val="40C1068E"/>
    <w:rsid w:val="40EB5E2E"/>
    <w:rsid w:val="41686577"/>
    <w:rsid w:val="41B55B4E"/>
    <w:rsid w:val="41CE016A"/>
    <w:rsid w:val="424C5BA2"/>
    <w:rsid w:val="427C033D"/>
    <w:rsid w:val="4286412E"/>
    <w:rsid w:val="42A3719F"/>
    <w:rsid w:val="42F80DB2"/>
    <w:rsid w:val="43B7168C"/>
    <w:rsid w:val="4431250F"/>
    <w:rsid w:val="44396802"/>
    <w:rsid w:val="444F192C"/>
    <w:rsid w:val="447C2876"/>
    <w:rsid w:val="44E26451"/>
    <w:rsid w:val="44FC06F4"/>
    <w:rsid w:val="45282B95"/>
    <w:rsid w:val="45440D98"/>
    <w:rsid w:val="458435F4"/>
    <w:rsid w:val="45C5024D"/>
    <w:rsid w:val="45C937D0"/>
    <w:rsid w:val="46293606"/>
    <w:rsid w:val="46BE746F"/>
    <w:rsid w:val="47DB18C9"/>
    <w:rsid w:val="47F839E2"/>
    <w:rsid w:val="484E2EA9"/>
    <w:rsid w:val="49164ABC"/>
    <w:rsid w:val="49995C78"/>
    <w:rsid w:val="49D0470F"/>
    <w:rsid w:val="49FE2799"/>
    <w:rsid w:val="4A0238F5"/>
    <w:rsid w:val="4A952DAE"/>
    <w:rsid w:val="4B66509A"/>
    <w:rsid w:val="4BC845F3"/>
    <w:rsid w:val="4BD016F9"/>
    <w:rsid w:val="4C6753F2"/>
    <w:rsid w:val="4C83776C"/>
    <w:rsid w:val="4CD53C0E"/>
    <w:rsid w:val="4D325232"/>
    <w:rsid w:val="4D666E75"/>
    <w:rsid w:val="4D814A59"/>
    <w:rsid w:val="4D926C66"/>
    <w:rsid w:val="4DE2074E"/>
    <w:rsid w:val="4DF80C26"/>
    <w:rsid w:val="4E994B9F"/>
    <w:rsid w:val="4F625BA7"/>
    <w:rsid w:val="4F7D3946"/>
    <w:rsid w:val="50447F7A"/>
    <w:rsid w:val="510A1419"/>
    <w:rsid w:val="51583D23"/>
    <w:rsid w:val="51AB02C4"/>
    <w:rsid w:val="51B3364F"/>
    <w:rsid w:val="51C602BA"/>
    <w:rsid w:val="52132340"/>
    <w:rsid w:val="52140592"/>
    <w:rsid w:val="52360357"/>
    <w:rsid w:val="52AD7609"/>
    <w:rsid w:val="52CD24EF"/>
    <w:rsid w:val="535B4E77"/>
    <w:rsid w:val="53762B86"/>
    <w:rsid w:val="55144E68"/>
    <w:rsid w:val="552C446C"/>
    <w:rsid w:val="55320D2F"/>
    <w:rsid w:val="5552317F"/>
    <w:rsid w:val="55627866"/>
    <w:rsid w:val="55820BFC"/>
    <w:rsid w:val="55D63DB0"/>
    <w:rsid w:val="56312D95"/>
    <w:rsid w:val="56515242"/>
    <w:rsid w:val="56CE3AA9"/>
    <w:rsid w:val="56FC732B"/>
    <w:rsid w:val="570F4E24"/>
    <w:rsid w:val="57376C93"/>
    <w:rsid w:val="57BA4624"/>
    <w:rsid w:val="57BF3FA4"/>
    <w:rsid w:val="58555460"/>
    <w:rsid w:val="59DD395F"/>
    <w:rsid w:val="59FE29BC"/>
    <w:rsid w:val="5AB126F6"/>
    <w:rsid w:val="5AE96334"/>
    <w:rsid w:val="5C07180B"/>
    <w:rsid w:val="5D1C02FB"/>
    <w:rsid w:val="5E2C6C63"/>
    <w:rsid w:val="5E7B3747"/>
    <w:rsid w:val="5EE83DA2"/>
    <w:rsid w:val="5FE13A7D"/>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ED6FEF"/>
    <w:rsid w:val="69472BA3"/>
    <w:rsid w:val="69CB5582"/>
    <w:rsid w:val="6AA21139"/>
    <w:rsid w:val="6CF07C20"/>
    <w:rsid w:val="6D0B0407"/>
    <w:rsid w:val="6DBF6C55"/>
    <w:rsid w:val="6DD357EF"/>
    <w:rsid w:val="6DD864C0"/>
    <w:rsid w:val="6DE50C94"/>
    <w:rsid w:val="6F4A2780"/>
    <w:rsid w:val="6F795A80"/>
    <w:rsid w:val="6F7B2100"/>
    <w:rsid w:val="7019691C"/>
    <w:rsid w:val="71504C22"/>
    <w:rsid w:val="719E7F37"/>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8F22A5B"/>
    <w:rsid w:val="79351E88"/>
    <w:rsid w:val="79835BAD"/>
    <w:rsid w:val="79981D97"/>
    <w:rsid w:val="79ED50A1"/>
    <w:rsid w:val="7A120FA2"/>
    <w:rsid w:val="7AAF67FA"/>
    <w:rsid w:val="7B325F99"/>
    <w:rsid w:val="7B424F78"/>
    <w:rsid w:val="7B9877B4"/>
    <w:rsid w:val="7BD57AA8"/>
    <w:rsid w:val="7D1E1A15"/>
    <w:rsid w:val="7D39684F"/>
    <w:rsid w:val="7D4A0A5C"/>
    <w:rsid w:val="7DB517E0"/>
    <w:rsid w:val="7E7E11AB"/>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2032</Words>
  <Characters>2165</Characters>
  <Lines>0</Lines>
  <Paragraphs>0</Paragraphs>
  <TotalTime>1</TotalTime>
  <ScaleCrop>false</ScaleCrop>
  <LinksUpToDate>false</LinksUpToDate>
  <CharactersWithSpaces>2202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2026-02-24T02:25:28Z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3484432DBE2A494993CE53829B01DBBC_13</vt:lpwstr>
  </property>
  <property fmtid="{D5CDD505-2E9C-101B-9397-08002B2CF9AE}" pid="4" name="KSOTemplateDocerSaveRecord">
    <vt:lpwstr>eyJoZGlkIjoiOThmZjEwYzc0ZWY0ZTI5ZTI4YjE1MjBkNmY1M2ZiNzkiLCJ1c2VySWQiOiI4NjU1Nzg4MTMifQ==</vt:lpwstr>
  </property>
</Properties>
</file>