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22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Cs/>
          <w:color w:val="auto"/>
          <w:sz w:val="72"/>
          <w:szCs w:val="72"/>
          <w:highlight w:val="none"/>
          <w:shd w:val="clear" w:color="auto" w:fill="auto"/>
          <w:lang w:eastAsia="zh-CN"/>
        </w:rPr>
      </w:pPr>
      <w:bookmarkStart w:id="9" w:name="_GoBack"/>
      <w:bookmarkEnd w:id="9"/>
    </w:p>
    <w:p w14:paraId="5F989610">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关于许昌市中心城区雨污水管网改造提升项目申报政府专项债财务评价服务</w:t>
      </w:r>
    </w:p>
    <w:p w14:paraId="27348835">
      <w:pPr>
        <w:jc w:val="both"/>
        <w:rPr>
          <w:rFonts w:hint="eastAsia" w:ascii="微软雅黑" w:hAnsi="微软雅黑" w:eastAsia="微软雅黑" w:cs="微软雅黑"/>
          <w:b w:val="0"/>
          <w:bCs w:val="0"/>
          <w:color w:val="auto"/>
          <w:kern w:val="36"/>
          <w:sz w:val="52"/>
          <w:szCs w:val="52"/>
          <w:highlight w:val="none"/>
          <w:shd w:val="clear" w:color="auto" w:fill="auto"/>
          <w:lang w:val="en-US" w:eastAsia="zh-CN" w:bidi="ar-SA"/>
        </w:rPr>
      </w:pPr>
    </w:p>
    <w:p w14:paraId="64B9A6F1">
      <w:pPr>
        <w:jc w:val="center"/>
        <w:rPr>
          <w:rFonts w:hint="eastAsia" w:ascii="仿宋" w:hAnsi="仿宋" w:eastAsia="仿宋" w:cs="仿宋"/>
          <w:color w:val="auto"/>
          <w:sz w:val="28"/>
          <w:szCs w:val="28"/>
          <w:highlight w:val="none"/>
          <w:shd w:val="clear" w:color="auto" w:fill="auto"/>
        </w:rPr>
      </w:pPr>
    </w:p>
    <w:p w14:paraId="13A2522A">
      <w:pPr>
        <w:rPr>
          <w:rFonts w:hint="eastAsia" w:ascii="仿宋" w:hAnsi="仿宋" w:eastAsia="仿宋" w:cs="仿宋"/>
          <w:color w:val="auto"/>
          <w:sz w:val="28"/>
          <w:szCs w:val="28"/>
          <w:highlight w:val="none"/>
          <w:shd w:val="clear" w:color="auto" w:fill="auto"/>
        </w:rPr>
      </w:pPr>
    </w:p>
    <w:p w14:paraId="3105F647">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795D3BD0">
      <w:pPr>
        <w:rPr>
          <w:rFonts w:hint="eastAsia" w:ascii="仿宋" w:hAnsi="仿宋" w:eastAsia="仿宋" w:cs="仿宋"/>
          <w:color w:val="auto"/>
          <w:sz w:val="28"/>
          <w:szCs w:val="28"/>
          <w:highlight w:val="none"/>
          <w:shd w:val="clear" w:color="auto" w:fill="auto"/>
        </w:rPr>
      </w:pPr>
    </w:p>
    <w:p w14:paraId="41495386">
      <w:pPr>
        <w:jc w:val="center"/>
        <w:rPr>
          <w:rFonts w:hint="eastAsia" w:ascii="仿宋" w:hAnsi="仿宋" w:eastAsia="仿宋" w:cs="仿宋"/>
          <w:color w:val="auto"/>
          <w:sz w:val="28"/>
          <w:szCs w:val="28"/>
          <w:highlight w:val="none"/>
          <w:shd w:val="clear" w:color="auto" w:fill="auto"/>
        </w:rPr>
      </w:pPr>
    </w:p>
    <w:p w14:paraId="4E0861BD">
      <w:pPr>
        <w:pStyle w:val="19"/>
        <w:jc w:val="both"/>
        <w:rPr>
          <w:rFonts w:hint="eastAsia" w:ascii="仿宋" w:hAnsi="仿宋" w:eastAsia="仿宋" w:cs="仿宋"/>
          <w:color w:val="auto"/>
          <w:sz w:val="28"/>
          <w:szCs w:val="28"/>
          <w:highlight w:val="none"/>
          <w:shd w:val="clear" w:color="auto" w:fill="auto"/>
        </w:rPr>
      </w:pPr>
    </w:p>
    <w:p w14:paraId="1274994A">
      <w:pPr>
        <w:jc w:val="center"/>
        <w:rPr>
          <w:rFonts w:hint="eastAsia" w:ascii="仿宋" w:hAnsi="仿宋" w:eastAsia="仿宋" w:cs="仿宋"/>
          <w:color w:val="auto"/>
          <w:sz w:val="28"/>
          <w:szCs w:val="28"/>
          <w:highlight w:val="none"/>
          <w:shd w:val="clear" w:color="auto" w:fill="auto"/>
        </w:rPr>
      </w:pPr>
    </w:p>
    <w:p w14:paraId="7D7E97F6">
      <w:pPr>
        <w:jc w:val="center"/>
        <w:rPr>
          <w:rFonts w:hint="eastAsia" w:ascii="仿宋" w:hAnsi="仿宋" w:eastAsia="仿宋" w:cs="仿宋"/>
          <w:color w:val="auto"/>
          <w:sz w:val="28"/>
          <w:szCs w:val="28"/>
          <w:highlight w:val="none"/>
          <w:shd w:val="clear" w:color="auto" w:fill="auto"/>
        </w:rPr>
      </w:pPr>
    </w:p>
    <w:p w14:paraId="3275CBA3">
      <w:pPr>
        <w:spacing w:line="560" w:lineRule="exact"/>
        <w:ind w:firstLine="1084" w:firstLineChars="300"/>
        <w:jc w:val="both"/>
        <w:rPr>
          <w:rFonts w:hint="eastAsia" w:ascii="仿宋" w:hAnsi="仿宋" w:eastAsia="仿宋" w:cs="仿宋"/>
          <w:b/>
          <w:bCs/>
          <w:caps/>
          <w:color w:val="auto"/>
          <w:sz w:val="36"/>
          <w:szCs w:val="36"/>
          <w:highlight w:val="none"/>
          <w:shd w:val="clear" w:color="auto" w:fill="auto"/>
          <w:lang w:val="en-US"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许昌市建设投资有限责任公司</w:t>
      </w:r>
    </w:p>
    <w:p w14:paraId="2050A887">
      <w:pPr>
        <w:spacing w:line="360" w:lineRule="auto"/>
        <w:jc w:val="center"/>
        <w:rPr>
          <w:rFonts w:hint="eastAsia" w:ascii="仿宋" w:hAnsi="仿宋" w:eastAsia="仿宋" w:cs="仿宋"/>
          <w:b/>
          <w:color w:val="auto"/>
          <w:sz w:val="36"/>
          <w:szCs w:val="36"/>
          <w:highlight w:val="none"/>
          <w:shd w:val="clear" w:color="auto" w:fill="auto"/>
        </w:rPr>
      </w:pPr>
    </w:p>
    <w:p w14:paraId="65A70E8F">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六</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二</w:t>
      </w:r>
      <w:r>
        <w:rPr>
          <w:rFonts w:hint="eastAsia" w:ascii="仿宋" w:hAnsi="仿宋" w:eastAsia="仿宋" w:cs="仿宋"/>
          <w:b/>
          <w:color w:val="auto"/>
          <w:sz w:val="36"/>
          <w:szCs w:val="36"/>
          <w:highlight w:val="none"/>
          <w:shd w:val="clear" w:color="auto" w:fill="auto"/>
        </w:rPr>
        <w:t>月</w:t>
      </w:r>
    </w:p>
    <w:p w14:paraId="33639C4B">
      <w:pPr>
        <w:pStyle w:val="14"/>
        <w:ind w:firstLine="0" w:firstLineChars="0"/>
        <w:rPr>
          <w:rFonts w:hint="eastAsia" w:ascii="仿宋" w:hAnsi="仿宋" w:eastAsia="仿宋" w:cs="仿宋"/>
          <w:color w:val="auto"/>
          <w:sz w:val="24"/>
          <w:szCs w:val="24"/>
          <w:highlight w:val="none"/>
          <w:shd w:val="clear" w:color="auto" w:fill="auto"/>
        </w:rPr>
      </w:pPr>
    </w:p>
    <w:p w14:paraId="3D58D88C">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9672AB0">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5B6BD44C">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6B09B494">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22CCCA9A">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7AF527A5">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0A45AA0D">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78001DAB">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34531B56">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第一章 比选邀请函</w:t>
      </w:r>
    </w:p>
    <w:p w14:paraId="2117A9B3">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C6DF98A">
      <w:pPr>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根据工作需要，</w:t>
      </w:r>
      <w:r>
        <w:rPr>
          <w:rFonts w:hint="eastAsia" w:eastAsia="仿宋_GB2312" w:cs="Times New Roman"/>
          <w:sz w:val="32"/>
          <w:szCs w:val="32"/>
          <w:lang w:val="en-US" w:eastAsia="zh-CN"/>
        </w:rPr>
        <w:t>许昌市建设投资有限责任公司</w:t>
      </w:r>
      <w:r>
        <w:rPr>
          <w:rFonts w:hint="default" w:ascii="Times New Roman" w:hAnsi="Times New Roman" w:eastAsia="仿宋_GB2312" w:cs="Times New Roman"/>
          <w:color w:val="auto"/>
          <w:sz w:val="32"/>
          <w:szCs w:val="32"/>
          <w:lang w:val="en-US" w:eastAsia="zh-CN"/>
        </w:rPr>
        <w:t>（以下简称“比选人”）拟通过比</w:t>
      </w:r>
      <w:r>
        <w:rPr>
          <w:rFonts w:hint="default" w:ascii="Times New Roman" w:hAnsi="Times New Roman" w:eastAsia="仿宋_GB2312" w:cs="Times New Roman"/>
          <w:sz w:val="32"/>
          <w:szCs w:val="32"/>
          <w:lang w:val="en-US" w:eastAsia="zh-CN"/>
        </w:rPr>
        <w:t>选方式选取一家有资质的</w:t>
      </w:r>
      <w:r>
        <w:rPr>
          <w:rFonts w:hint="eastAsia" w:eastAsia="仿宋_GB2312" w:cs="Times New Roman"/>
          <w:sz w:val="32"/>
          <w:szCs w:val="32"/>
          <w:lang w:val="en-US" w:eastAsia="zh-CN"/>
        </w:rPr>
        <w:t>会计师事务所</w:t>
      </w:r>
      <w:r>
        <w:rPr>
          <w:rFonts w:hint="default" w:ascii="Times New Roman" w:hAnsi="Times New Roman" w:eastAsia="仿宋_GB2312" w:cs="Times New Roman"/>
          <w:sz w:val="32"/>
          <w:szCs w:val="32"/>
          <w:lang w:val="en-US" w:eastAsia="zh-CN"/>
        </w:rPr>
        <w:t>对</w:t>
      </w:r>
      <w:r>
        <w:rPr>
          <w:rFonts w:hint="eastAsia" w:ascii="仿宋_GB2312" w:hAnsi="仿宋_GB2312" w:eastAsia="仿宋_GB2312" w:cs="仿宋_GB2312"/>
          <w:i w:val="0"/>
          <w:iCs w:val="0"/>
          <w:caps w:val="0"/>
          <w:spacing w:val="8"/>
          <w:sz w:val="32"/>
          <w:szCs w:val="32"/>
          <w:shd w:val="clear" w:color="auto" w:fill="FFFFFF"/>
          <w:lang w:val="en-US" w:eastAsia="zh-CN"/>
        </w:rPr>
        <w:t>许昌市中心城区雨污水管网改造提升项目</w:t>
      </w:r>
      <w:r>
        <w:rPr>
          <w:rFonts w:hint="default" w:ascii="Times New Roman" w:hAnsi="Times New Roman" w:eastAsia="仿宋_GB2312" w:cs="Times New Roman"/>
          <w:color w:val="auto"/>
          <w:sz w:val="32"/>
          <w:szCs w:val="32"/>
          <w:lang w:val="en-US" w:eastAsia="zh-CN"/>
        </w:rPr>
        <w:t>申报政府专项债提供</w:t>
      </w:r>
      <w:r>
        <w:rPr>
          <w:rFonts w:hint="eastAsia" w:eastAsia="仿宋_GB2312" w:cs="Times New Roman"/>
          <w:color w:val="auto"/>
          <w:sz w:val="32"/>
          <w:szCs w:val="32"/>
          <w:lang w:val="en-US" w:eastAsia="zh-CN"/>
        </w:rPr>
        <w:t>财务评价</w:t>
      </w:r>
      <w:r>
        <w:rPr>
          <w:rFonts w:hint="default" w:ascii="Times New Roman" w:hAnsi="Times New Roman" w:eastAsia="仿宋_GB2312" w:cs="Times New Roman"/>
          <w:sz w:val="32"/>
          <w:szCs w:val="32"/>
          <w:lang w:val="en-US" w:eastAsia="zh-CN"/>
        </w:rPr>
        <w:t>服务，</w:t>
      </w:r>
      <w:r>
        <w:rPr>
          <w:rFonts w:hint="default" w:ascii="Times New Roman" w:hAnsi="Times New Roman" w:eastAsia="仿宋_GB2312" w:cs="Times New Roman"/>
          <w:color w:val="auto"/>
          <w:sz w:val="32"/>
          <w:szCs w:val="32"/>
          <w:lang w:val="en-US" w:eastAsia="zh-CN"/>
        </w:rPr>
        <w:t>现诚邀符合资格条件的公司参加。</w:t>
      </w:r>
    </w:p>
    <w:p w14:paraId="6E35DAF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rPr>
        <w:t>一、</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lang w:val="en-US" w:eastAsia="zh-CN"/>
        </w:rPr>
        <w:t>项目概况及服务内容</w:t>
      </w:r>
    </w:p>
    <w:p w14:paraId="34ACDC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eastAsia="zh-CN"/>
        </w:rPr>
        <w:t>1.项目名称：</w:t>
      </w:r>
      <w:r>
        <w:rPr>
          <w:rFonts w:hint="eastAsia" w:ascii="仿宋_GB2312" w:hAnsi="仿宋_GB2312" w:eastAsia="仿宋_GB2312" w:cs="仿宋_GB2312"/>
          <w:i w:val="0"/>
          <w:iCs w:val="0"/>
          <w:caps w:val="0"/>
          <w:spacing w:val="8"/>
          <w:sz w:val="32"/>
          <w:szCs w:val="32"/>
          <w:shd w:val="clear" w:color="auto" w:fill="FFFFFF"/>
          <w:lang w:val="en-US" w:eastAsia="zh-CN"/>
        </w:rPr>
        <w:t>许昌市中心城区雨污水管网改造提升项目</w:t>
      </w:r>
      <w:r>
        <w:rPr>
          <w:rFonts w:hint="default" w:ascii="Times New Roman" w:hAnsi="Times New Roman" w:eastAsia="仿宋_GB2312" w:cs="Times New Roman"/>
          <w:color w:val="auto"/>
          <w:sz w:val="32"/>
          <w:szCs w:val="32"/>
          <w:lang w:val="en-US" w:eastAsia="zh-CN"/>
        </w:rPr>
        <w:t>申报政府专项债</w:t>
      </w:r>
      <w:r>
        <w:rPr>
          <w:rFonts w:hint="eastAsia" w:eastAsia="仿宋_GB2312" w:cs="Times New Roman"/>
          <w:color w:val="auto"/>
          <w:sz w:val="32"/>
          <w:szCs w:val="32"/>
          <w:lang w:val="en-US" w:eastAsia="zh-CN"/>
        </w:rPr>
        <w:t>财务评价</w:t>
      </w:r>
      <w:r>
        <w:rPr>
          <w:rFonts w:hint="default" w:ascii="Times New Roman" w:hAnsi="Times New Roman" w:eastAsia="仿宋_GB2312" w:cs="Times New Roman"/>
          <w:color w:val="auto"/>
          <w:sz w:val="32"/>
          <w:szCs w:val="32"/>
          <w:lang w:val="en-US" w:eastAsia="zh-CN"/>
        </w:rPr>
        <w:t>服务</w:t>
      </w:r>
    </w:p>
    <w:p w14:paraId="729EC2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color w:val="auto"/>
          <w:sz w:val="32"/>
          <w:szCs w:val="32"/>
          <w:lang w:eastAsia="zh-CN"/>
        </w:rPr>
        <w:t>：</w:t>
      </w:r>
      <w:r>
        <w:rPr>
          <w:rFonts w:hint="eastAsia" w:eastAsia="仿宋_GB2312" w:cs="Times New Roman"/>
          <w:sz w:val="32"/>
          <w:szCs w:val="32"/>
          <w:lang w:val="en-US" w:eastAsia="zh-CN"/>
        </w:rPr>
        <w:t>许昌市建设投资有限责任公司</w:t>
      </w:r>
    </w:p>
    <w:p w14:paraId="03BFA9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3.在本次申报专项债过程中，</w:t>
      </w:r>
      <w:r>
        <w:rPr>
          <w:rFonts w:hint="default" w:ascii="Times New Roman" w:hAnsi="Times New Roman" w:eastAsia="仿宋_GB2312" w:cs="Times New Roman"/>
          <w:color w:val="auto"/>
          <w:sz w:val="32"/>
          <w:szCs w:val="32"/>
          <w:lang w:eastAsia="zh-CN"/>
        </w:rPr>
        <w:t>配合“比选人”完成</w:t>
      </w:r>
      <w:r>
        <w:rPr>
          <w:rFonts w:hint="default" w:ascii="Times New Roman" w:hAnsi="Times New Roman" w:eastAsia="仿宋_GB2312" w:cs="Times New Roman"/>
          <w:color w:val="000000"/>
          <w:kern w:val="0"/>
          <w:sz w:val="32"/>
          <w:szCs w:val="32"/>
          <w:highlight w:val="none"/>
          <w:lang w:val="en-US" w:eastAsia="zh-CN" w:bidi="ar"/>
        </w:rPr>
        <w:t>项目相关</w:t>
      </w:r>
      <w:r>
        <w:rPr>
          <w:rFonts w:hint="eastAsia" w:eastAsia="仿宋_GB2312" w:cs="Times New Roman"/>
          <w:color w:val="000000"/>
          <w:kern w:val="0"/>
          <w:sz w:val="32"/>
          <w:szCs w:val="32"/>
          <w:highlight w:val="none"/>
          <w:lang w:val="en-US" w:eastAsia="zh-CN" w:bidi="ar"/>
        </w:rPr>
        <w:t>财务评价</w:t>
      </w:r>
      <w:r>
        <w:rPr>
          <w:rFonts w:hint="default" w:ascii="Times New Roman" w:hAnsi="Times New Roman" w:eastAsia="仿宋_GB2312" w:cs="Times New Roman"/>
          <w:color w:val="000000"/>
          <w:kern w:val="0"/>
          <w:sz w:val="32"/>
          <w:szCs w:val="32"/>
          <w:highlight w:val="none"/>
          <w:lang w:val="en-US" w:eastAsia="zh-CN" w:bidi="ar"/>
        </w:rPr>
        <w:t>服务，并出具《收益与融资自求平衡专项评价报告》</w:t>
      </w:r>
      <w:r>
        <w:rPr>
          <w:rFonts w:hint="default" w:ascii="Times New Roman" w:hAnsi="Times New Roman" w:eastAsia="仿宋_GB2312" w:cs="Times New Roman"/>
          <w:color w:val="auto"/>
          <w:sz w:val="32"/>
          <w:szCs w:val="32"/>
          <w:lang w:val="en-US" w:eastAsia="zh-CN"/>
        </w:rPr>
        <w:t>，对报告中</w:t>
      </w:r>
      <w:r>
        <w:rPr>
          <w:rFonts w:hint="default" w:ascii="Times New Roman" w:hAnsi="Times New Roman" w:eastAsia="仿宋_GB2312" w:cs="Times New Roman"/>
          <w:color w:val="auto"/>
          <w:sz w:val="32"/>
          <w:szCs w:val="32"/>
          <w:lang w:eastAsia="zh-CN"/>
        </w:rPr>
        <w:t>相关数据</w:t>
      </w:r>
      <w:r>
        <w:rPr>
          <w:rFonts w:hint="default" w:ascii="Times New Roman" w:hAnsi="Times New Roman" w:eastAsia="仿宋_GB2312" w:cs="Times New Roman"/>
          <w:color w:val="auto"/>
          <w:sz w:val="32"/>
          <w:szCs w:val="32"/>
          <w:lang w:val="en-US" w:eastAsia="zh-CN"/>
        </w:rPr>
        <w:t>进行</w:t>
      </w:r>
      <w:r>
        <w:rPr>
          <w:rFonts w:hint="default" w:ascii="Times New Roman" w:hAnsi="Times New Roman" w:eastAsia="仿宋_GB2312" w:cs="Times New Roman"/>
          <w:color w:val="auto"/>
          <w:sz w:val="32"/>
          <w:szCs w:val="32"/>
          <w:lang w:eastAsia="zh-CN"/>
        </w:rPr>
        <w:t>审查整理工作，</w:t>
      </w:r>
      <w:r>
        <w:rPr>
          <w:rFonts w:hint="default" w:ascii="Times New Roman" w:hAnsi="Times New Roman" w:eastAsia="仿宋_GB2312" w:cs="Times New Roman"/>
          <w:color w:val="auto"/>
          <w:sz w:val="32"/>
          <w:szCs w:val="32"/>
          <w:lang w:val="en-US" w:eastAsia="zh-CN"/>
        </w:rPr>
        <w:t>出具正式版报告</w:t>
      </w:r>
      <w:r>
        <w:rPr>
          <w:rFonts w:hint="eastAsia" w:eastAsia="仿宋_GB2312" w:cs="Times New Roman"/>
          <w:color w:val="auto"/>
          <w:sz w:val="32"/>
          <w:szCs w:val="32"/>
          <w:lang w:eastAsia="zh-CN"/>
        </w:rPr>
        <w:t>。</w:t>
      </w:r>
    </w:p>
    <w:p w14:paraId="40F652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对本次</w:t>
      </w:r>
      <w:r>
        <w:rPr>
          <w:rFonts w:hint="default" w:ascii="Times New Roman" w:hAnsi="Times New Roman" w:eastAsia="仿宋_GB2312" w:cs="Times New Roman"/>
          <w:color w:val="auto"/>
          <w:sz w:val="32"/>
          <w:szCs w:val="32"/>
          <w:lang w:val="en-US" w:eastAsia="zh-CN"/>
        </w:rPr>
        <w:t>报告编制</w:t>
      </w:r>
      <w:r>
        <w:rPr>
          <w:rFonts w:hint="default" w:ascii="Times New Roman" w:hAnsi="Times New Roman" w:eastAsia="仿宋_GB2312" w:cs="Times New Roman"/>
          <w:color w:val="auto"/>
          <w:sz w:val="32"/>
          <w:szCs w:val="32"/>
        </w:rPr>
        <w:t>过程中涉及的各方面问题，进行</w:t>
      </w:r>
      <w:r>
        <w:rPr>
          <w:rFonts w:hint="default" w:ascii="Times New Roman" w:hAnsi="Times New Roman" w:eastAsia="仿宋_GB2312" w:cs="Times New Roman"/>
          <w:color w:val="auto"/>
          <w:sz w:val="32"/>
          <w:szCs w:val="32"/>
          <w:lang w:eastAsia="zh-CN"/>
        </w:rPr>
        <w:t>分析答疑。</w:t>
      </w:r>
    </w:p>
    <w:p w14:paraId="0795556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二、</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人要求</w:t>
      </w:r>
    </w:p>
    <w:p w14:paraId="6446E0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参与此次</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应具备以下条件：</w:t>
      </w:r>
    </w:p>
    <w:p w14:paraId="4BB780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rPr>
        <w:t>在中华人民共和国境内注册，具备独立法人资格，持有合法有效的企业法人营业执照；</w:t>
      </w:r>
    </w:p>
    <w:p w14:paraId="746EB9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2.具备出具申报政府专项债相关</w:t>
      </w:r>
      <w:r>
        <w:rPr>
          <w:rFonts w:hint="eastAsia" w:eastAsia="仿宋_GB2312" w:cs="Times New Roman"/>
          <w:color w:val="auto"/>
          <w:sz w:val="32"/>
          <w:szCs w:val="32"/>
          <w:highlight w:val="none"/>
          <w:lang w:val="en-US" w:eastAsia="zh-CN"/>
        </w:rPr>
        <w:t>财务评价</w:t>
      </w:r>
      <w:r>
        <w:rPr>
          <w:rFonts w:hint="default" w:ascii="Times New Roman" w:hAnsi="Times New Roman" w:eastAsia="仿宋_GB2312" w:cs="Times New Roman"/>
          <w:color w:val="auto"/>
          <w:sz w:val="32"/>
          <w:szCs w:val="32"/>
          <w:highlight w:val="none"/>
          <w:lang w:val="en-US" w:eastAsia="zh-CN"/>
        </w:rPr>
        <w:t>报告的成功经验；</w:t>
      </w:r>
    </w:p>
    <w:p w14:paraId="3F62DB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3.比选申请人近三年未因重大的执业质量等问题受到通报、处罚，没有处于破产、被责令停业或存在其他违法行为；</w:t>
      </w:r>
    </w:p>
    <w:p w14:paraId="627E22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272B52F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三</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文件要求</w:t>
      </w:r>
    </w:p>
    <w:p w14:paraId="4892EF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按照比选文件第</w:t>
      </w: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eastAsia="zh-CN"/>
        </w:rPr>
        <w:t>章要求提供。</w:t>
      </w:r>
    </w:p>
    <w:p w14:paraId="3970FD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四</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文件的递交</w:t>
      </w:r>
    </w:p>
    <w:p w14:paraId="4FDC62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w:t>
      </w:r>
      <w:r>
        <w:rPr>
          <w:rFonts w:hint="eastAsia" w:eastAsia="仿宋_GB2312" w:cs="Times New Roman"/>
          <w:color w:val="auto"/>
          <w:sz w:val="32"/>
          <w:szCs w:val="32"/>
          <w:highlight w:val="none"/>
          <w:lang w:val="en-US" w:eastAsia="zh-CN"/>
        </w:rPr>
        <w:t>3月4日17</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lang w:eastAsia="zh-CN"/>
        </w:rPr>
        <w:t>前将投标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送达（邮寄）</w:t>
      </w:r>
      <w:r>
        <w:rPr>
          <w:rFonts w:hint="default" w:ascii="Times New Roman" w:hAnsi="Times New Roman" w:eastAsia="仿宋_GB2312" w:cs="Times New Roman"/>
          <w:color w:val="auto"/>
          <w:sz w:val="32"/>
          <w:szCs w:val="32"/>
        </w:rPr>
        <w:t>至：</w:t>
      </w:r>
      <w:r>
        <w:rPr>
          <w:rFonts w:hint="default" w:ascii="Times New Roman" w:hAnsi="Times New Roman" w:eastAsia="仿宋_GB2312" w:cs="Times New Roman"/>
          <w:color w:val="auto"/>
          <w:sz w:val="32"/>
          <w:szCs w:val="32"/>
          <w:lang w:val="en-US" w:eastAsia="zh-CN"/>
        </w:rPr>
        <w:t>河南省许昌市建安大道财政综合大楼816室。</w:t>
      </w:r>
    </w:p>
    <w:p w14:paraId="5F17EE9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五</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rPr>
        <w:t>办法</w:t>
      </w:r>
    </w:p>
    <w:p w14:paraId="731FEB4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遵循公正、公平的原则，严格按照法律法规要求进行</w:t>
      </w:r>
      <w:r>
        <w:rPr>
          <w:rFonts w:hint="default" w:ascii="Times New Roman" w:hAnsi="Times New Roman" w:eastAsia="仿宋_GB2312" w:cs="Times New Roman"/>
          <w:color w:val="auto"/>
          <w:sz w:val="32"/>
          <w:szCs w:val="32"/>
          <w:lang w:eastAsia="zh-CN"/>
        </w:rPr>
        <w:t>；</w:t>
      </w:r>
    </w:p>
    <w:p w14:paraId="703ABA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采用综合评分法，按得分由高到低确定候选人，如最高得分为两家或两家以上时，由</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人组成的磋商小组进行磋商确定。</w:t>
      </w:r>
    </w:p>
    <w:p w14:paraId="6FA1025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六</w:t>
      </w:r>
      <w:r>
        <w:rPr>
          <w:rFonts w:hint="default" w:ascii="Times New Roman" w:hAnsi="Times New Roman" w:eastAsia="仿宋_GB2312" w:cs="Times New Roman"/>
          <w:b/>
          <w:bCs w:val="0"/>
          <w:color w:val="auto"/>
          <w:sz w:val="32"/>
          <w:szCs w:val="32"/>
        </w:rPr>
        <w:t>、注意事项</w:t>
      </w:r>
    </w:p>
    <w:p w14:paraId="5A7223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人须按照要求提供</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w:t>
      </w:r>
    </w:p>
    <w:p w14:paraId="3B955B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如</w:t>
      </w:r>
      <w:r>
        <w:rPr>
          <w:rFonts w:hint="default" w:ascii="Times New Roman" w:hAnsi="Times New Roman" w:eastAsia="仿宋_GB2312" w:cs="Times New Roman"/>
          <w:color w:val="auto"/>
          <w:sz w:val="32"/>
          <w:szCs w:val="32"/>
          <w:lang w:eastAsia="zh-CN"/>
        </w:rPr>
        <w:t>中标人</w:t>
      </w:r>
      <w:r>
        <w:rPr>
          <w:rFonts w:hint="default" w:ascii="Times New Roman" w:hAnsi="Times New Roman" w:eastAsia="仿宋_GB2312" w:cs="Times New Roman"/>
          <w:color w:val="auto"/>
          <w:sz w:val="32"/>
          <w:szCs w:val="32"/>
        </w:rPr>
        <w:t>在以后合作期间出现破产、被责令停业、严重违规和违法行为、被列入“失信被执行人名单”等影响合作的行为，</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人有权选用其他</w:t>
      </w:r>
      <w:r>
        <w:rPr>
          <w:rFonts w:hint="default" w:ascii="Times New Roman" w:hAnsi="Times New Roman" w:eastAsia="仿宋_GB2312" w:cs="Times New Roman"/>
          <w:color w:val="auto"/>
          <w:sz w:val="32"/>
          <w:szCs w:val="32"/>
          <w:lang w:val="en-US" w:eastAsia="zh-CN"/>
        </w:rPr>
        <w:t>服务机构</w:t>
      </w:r>
      <w:r>
        <w:rPr>
          <w:rFonts w:hint="default" w:ascii="Times New Roman" w:hAnsi="Times New Roman" w:eastAsia="仿宋_GB2312" w:cs="Times New Roman"/>
          <w:color w:val="auto"/>
          <w:sz w:val="32"/>
          <w:szCs w:val="32"/>
        </w:rPr>
        <w:t>。</w:t>
      </w:r>
    </w:p>
    <w:p w14:paraId="6F315F8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lang w:val="en-US" w:eastAsia="zh-CN"/>
        </w:rPr>
        <w:t>七</w:t>
      </w:r>
      <w:r>
        <w:rPr>
          <w:rFonts w:hint="default" w:ascii="Times New Roman" w:hAnsi="Times New Roman" w:eastAsia="仿宋_GB2312" w:cs="Times New Roman"/>
          <w:b/>
          <w:bCs w:val="0"/>
          <w:color w:val="auto"/>
          <w:sz w:val="32"/>
          <w:szCs w:val="32"/>
          <w:lang w:eastAsia="zh-CN"/>
        </w:rPr>
        <w:t>、比选控制价</w:t>
      </w:r>
    </w:p>
    <w:p w14:paraId="6BCA85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本项目比选</w:t>
      </w:r>
      <w:r>
        <w:rPr>
          <w:rFonts w:hint="default" w:ascii="Times New Roman" w:hAnsi="Times New Roman" w:eastAsia="仿宋_GB2312" w:cs="Times New Roman"/>
          <w:color w:val="auto"/>
          <w:sz w:val="32"/>
          <w:szCs w:val="32"/>
          <w:highlight w:val="none"/>
          <w:lang w:val="en-US" w:eastAsia="zh-CN"/>
        </w:rPr>
        <w:t>控制价为</w:t>
      </w:r>
      <w:r>
        <w:rPr>
          <w:rFonts w:hint="eastAsia" w:eastAsia="仿宋_GB2312" w:cs="Times New Roman"/>
          <w:color w:val="auto"/>
          <w:sz w:val="32"/>
          <w:szCs w:val="32"/>
          <w:highlight w:val="none"/>
          <w:lang w:val="en-US" w:eastAsia="zh-CN"/>
        </w:rPr>
        <w:t>11万</w:t>
      </w:r>
      <w:r>
        <w:rPr>
          <w:rFonts w:hint="default" w:ascii="Times New Roman" w:hAnsi="Times New Roman" w:eastAsia="仿宋_GB2312" w:cs="Times New Roman"/>
          <w:color w:val="auto"/>
          <w:sz w:val="32"/>
          <w:szCs w:val="32"/>
          <w:highlight w:val="none"/>
          <w:lang w:val="en-US" w:eastAsia="zh-CN"/>
        </w:rPr>
        <w:t>元。</w:t>
      </w:r>
    </w:p>
    <w:p w14:paraId="5CBC035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八、</w:t>
      </w:r>
      <w:r>
        <w:rPr>
          <w:rFonts w:hint="default" w:ascii="Times New Roman" w:hAnsi="Times New Roman" w:eastAsia="仿宋_GB2312" w:cs="Times New Roman"/>
          <w:color w:val="auto"/>
          <w:sz w:val="32"/>
          <w:szCs w:val="32"/>
          <w:lang w:val="en-US" w:eastAsia="zh-CN"/>
        </w:rPr>
        <w:t>本</w:t>
      </w:r>
      <w:r>
        <w:rPr>
          <w:rFonts w:hint="default" w:ascii="Times New Roman" w:hAnsi="Times New Roman" w:eastAsia="仿宋_GB2312" w:cs="Times New Roman"/>
          <w:color w:val="auto"/>
          <w:sz w:val="32"/>
          <w:szCs w:val="32"/>
          <w:highlight w:val="none"/>
          <w:lang w:val="en-US" w:eastAsia="zh-CN"/>
        </w:rPr>
        <w:t>次比选公告在许昌市城投发展集团有限公司官网（网</w:t>
      </w:r>
      <w:r>
        <w:rPr>
          <w:rFonts w:hint="default" w:ascii="Times New Roman" w:hAnsi="Times New Roman" w:eastAsia="仿宋_GB2312" w:cs="Times New Roman"/>
          <w:color w:val="auto"/>
          <w:sz w:val="32"/>
          <w:szCs w:val="32"/>
          <w:highlight w:val="none"/>
          <w:lang w:eastAsia="zh-CN"/>
        </w:rPr>
        <w:t>站地址：http://www.xcsct.cn/）发</w:t>
      </w:r>
      <w:r>
        <w:rPr>
          <w:rFonts w:hint="default" w:ascii="Times New Roman" w:hAnsi="Times New Roman" w:eastAsia="仿宋_GB2312" w:cs="Times New Roman"/>
          <w:color w:val="auto"/>
          <w:sz w:val="32"/>
          <w:szCs w:val="32"/>
          <w:lang w:eastAsia="zh-CN"/>
        </w:rPr>
        <w:t>布。</w:t>
      </w:r>
    </w:p>
    <w:p w14:paraId="2ED2135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bookmarkStart w:id="0" w:name="_Toc28359008"/>
      <w:bookmarkEnd w:id="0"/>
      <w:bookmarkStart w:id="1" w:name="_Toc35393796"/>
      <w:bookmarkEnd w:id="1"/>
      <w:bookmarkStart w:id="2" w:name="_Toc35393626"/>
      <w:bookmarkEnd w:id="2"/>
      <w:bookmarkStart w:id="3" w:name="_Toc35393795"/>
      <w:bookmarkEnd w:id="3"/>
      <w:bookmarkStart w:id="4" w:name="_Toc35393627"/>
      <w:bookmarkEnd w:id="4"/>
      <w:bookmarkStart w:id="5" w:name="_Toc28359085"/>
      <w:bookmarkEnd w:id="5"/>
      <w:r>
        <w:rPr>
          <w:rFonts w:hint="default" w:ascii="Times New Roman" w:hAnsi="Times New Roman" w:eastAsia="仿宋_GB2312" w:cs="Times New Roman"/>
          <w:b/>
          <w:bCs w:val="0"/>
          <w:color w:val="auto"/>
          <w:sz w:val="32"/>
          <w:szCs w:val="32"/>
          <w:highlight w:val="none"/>
          <w:lang w:val="en-US" w:eastAsia="zh-CN"/>
        </w:rPr>
        <w:t>九、联系方式</w:t>
      </w:r>
    </w:p>
    <w:p w14:paraId="7E3984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color w:val="auto"/>
          <w:sz w:val="32"/>
          <w:szCs w:val="32"/>
          <w:highlight w:val="none"/>
          <w:lang w:val="en-US" w:eastAsia="zh-CN"/>
        </w:rPr>
        <w:t>比选人</w:t>
      </w:r>
      <w:r>
        <w:rPr>
          <w:rFonts w:hint="default" w:ascii="Times New Roman" w:hAnsi="Times New Roman" w:eastAsia="仿宋_GB2312" w:cs="Times New Roman"/>
          <w:b w:val="0"/>
          <w:bCs/>
          <w:color w:val="auto"/>
          <w:sz w:val="32"/>
          <w:szCs w:val="32"/>
          <w:highlight w:val="none"/>
          <w:lang w:val="en-GB" w:eastAsia="zh-CN"/>
        </w:rPr>
        <w:t>：</w:t>
      </w:r>
      <w:r>
        <w:rPr>
          <w:rFonts w:hint="eastAsia" w:eastAsia="仿宋_GB2312" w:cs="Times New Roman"/>
          <w:sz w:val="32"/>
          <w:szCs w:val="32"/>
          <w:lang w:val="en-US" w:eastAsia="zh-CN"/>
        </w:rPr>
        <w:t>许昌市建设投资有限责任公司</w:t>
      </w:r>
    </w:p>
    <w:p w14:paraId="4F26DA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color w:val="auto"/>
          <w:sz w:val="32"/>
          <w:szCs w:val="32"/>
          <w:highlight w:val="none"/>
          <w:lang w:val="en-GB" w:eastAsia="zh-CN"/>
        </w:rPr>
        <w:t>地</w:t>
      </w:r>
      <w:r>
        <w:rPr>
          <w:rFonts w:hint="default" w:ascii="Times New Roman" w:hAnsi="Times New Roman" w:eastAsia="仿宋_GB2312" w:cs="Times New Roman"/>
          <w:b w:val="0"/>
          <w:bCs/>
          <w:color w:val="auto"/>
          <w:sz w:val="32"/>
          <w:szCs w:val="32"/>
          <w:highlight w:val="none"/>
          <w:lang w:eastAsia="zh-CN"/>
        </w:rPr>
        <w:t xml:space="preserve">  </w:t>
      </w:r>
      <w:r>
        <w:rPr>
          <w:rFonts w:hint="default" w:ascii="Times New Roman" w:hAnsi="Times New Roman" w:eastAsia="仿宋_GB2312" w:cs="Times New Roman"/>
          <w:b w:val="0"/>
          <w:bCs/>
          <w:color w:val="auto"/>
          <w:sz w:val="32"/>
          <w:szCs w:val="32"/>
          <w:highlight w:val="none"/>
          <w:lang w:val="en-GB" w:eastAsia="zh-CN"/>
        </w:rPr>
        <w:t>址：</w:t>
      </w:r>
      <w:r>
        <w:rPr>
          <w:rFonts w:hint="default" w:ascii="Times New Roman" w:hAnsi="Times New Roman" w:eastAsia="仿宋_GB2312" w:cs="Times New Roman"/>
          <w:color w:val="auto"/>
          <w:sz w:val="32"/>
          <w:szCs w:val="32"/>
          <w:lang w:val="en-US" w:eastAsia="zh-CN"/>
        </w:rPr>
        <w:t>河南省许昌市建安大道财政综合大楼816房间</w:t>
      </w:r>
    </w:p>
    <w:p w14:paraId="3410DC9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GB" w:eastAsia="zh-CN"/>
        </w:rPr>
      </w:pPr>
      <w:r>
        <w:rPr>
          <w:rFonts w:hint="default" w:ascii="Times New Roman" w:hAnsi="Times New Roman" w:eastAsia="仿宋_GB2312" w:cs="Times New Roman"/>
          <w:b w:val="0"/>
          <w:bCs/>
          <w:color w:val="auto"/>
          <w:sz w:val="32"/>
          <w:szCs w:val="32"/>
          <w:highlight w:val="none"/>
          <w:lang w:val="en-GB" w:eastAsia="zh-CN"/>
        </w:rPr>
        <w:t>联系人：</w:t>
      </w:r>
      <w:r>
        <w:rPr>
          <w:rFonts w:hint="eastAsia" w:eastAsia="仿宋_GB2312" w:cs="Times New Roman"/>
          <w:b w:val="0"/>
          <w:bCs/>
          <w:color w:val="auto"/>
          <w:sz w:val="32"/>
          <w:szCs w:val="32"/>
          <w:highlight w:val="none"/>
          <w:lang w:val="en-US" w:eastAsia="zh-CN"/>
        </w:rPr>
        <w:t>化先生</w:t>
      </w:r>
      <w:r>
        <w:rPr>
          <w:rFonts w:hint="default" w:ascii="Times New Roman" w:hAnsi="Times New Roman" w:eastAsia="仿宋_GB2312" w:cs="Times New Roman"/>
          <w:b w:val="0"/>
          <w:bCs/>
          <w:color w:val="auto"/>
          <w:sz w:val="32"/>
          <w:szCs w:val="32"/>
          <w:highlight w:val="none"/>
          <w:lang w:val="en-US" w:eastAsia="zh-CN"/>
        </w:rPr>
        <w:t xml:space="preserve"> </w:t>
      </w:r>
      <w:r>
        <w:rPr>
          <w:rFonts w:hint="default" w:ascii="Times New Roman" w:hAnsi="Times New Roman" w:eastAsia="仿宋_GB2312" w:cs="Times New Roman"/>
          <w:b w:val="0"/>
          <w:bCs/>
          <w:color w:val="auto"/>
          <w:sz w:val="32"/>
          <w:szCs w:val="32"/>
          <w:highlight w:val="none"/>
          <w:lang w:val="en-GB" w:eastAsia="zh-CN"/>
        </w:rPr>
        <w:t xml:space="preserve">        </w:t>
      </w:r>
    </w:p>
    <w:p w14:paraId="3E6011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GB" w:eastAsia="zh-CN"/>
        </w:rPr>
        <w:t>联系电话：</w:t>
      </w:r>
      <w:r>
        <w:rPr>
          <w:rFonts w:hint="default" w:ascii="Times New Roman" w:hAnsi="Times New Roman" w:eastAsia="仿宋_GB2312" w:cs="Times New Roman"/>
          <w:b w:val="0"/>
          <w:bCs/>
          <w:color w:val="auto"/>
          <w:sz w:val="32"/>
          <w:szCs w:val="32"/>
          <w:highlight w:val="none"/>
          <w:lang w:val="en-US" w:eastAsia="zh-CN"/>
        </w:rPr>
        <w:t>0374-2699026</w:t>
      </w:r>
    </w:p>
    <w:p w14:paraId="5EC24E6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监督电话：0374-2699156</w:t>
      </w:r>
    </w:p>
    <w:p w14:paraId="424E0CF0">
      <w:pPr>
        <w:pStyle w:val="14"/>
        <w:rPr>
          <w:rFonts w:hint="eastAsia" w:ascii="仿宋" w:hAnsi="仿宋" w:eastAsia="仿宋" w:cs="仿宋"/>
          <w:b/>
          <w:bCs/>
          <w:color w:val="auto"/>
          <w:sz w:val="24"/>
          <w:szCs w:val="24"/>
        </w:rPr>
      </w:pPr>
    </w:p>
    <w:p w14:paraId="2724E0E0">
      <w:pPr>
        <w:pStyle w:val="15"/>
        <w:rPr>
          <w:rFonts w:hint="eastAsia"/>
        </w:rPr>
      </w:pPr>
    </w:p>
    <w:p w14:paraId="4BE4F0AB">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4E2A9C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1.在本次申报政府专项债过程中，配合“比选人”完成项目相关数据审查整理工作。</w:t>
      </w:r>
    </w:p>
    <w:p w14:paraId="4CBF01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2.对许昌市中心城区雨污水管网改造提升项目申报政府专项债</w:t>
      </w:r>
      <w:r>
        <w:rPr>
          <w:rFonts w:hint="eastAsia" w:ascii="仿宋_GB2312" w:hAnsi="仿宋_GB2312" w:eastAsia="仿宋_GB2312" w:cs="仿宋_GB2312"/>
          <w:sz w:val="32"/>
          <w:szCs w:val="32"/>
          <w:lang w:val="en-US" w:eastAsia="zh-CN"/>
        </w:rPr>
        <w:t>提供财务评价服务并出</w:t>
      </w:r>
      <w:r>
        <w:rPr>
          <w:rFonts w:hint="eastAsia" w:ascii="仿宋_GB2312" w:hAnsi="仿宋_GB2312" w:eastAsia="仿宋_GB2312" w:cs="仿宋_GB2312"/>
          <w:sz w:val="32"/>
          <w:szCs w:val="32"/>
          <w:highlight w:val="none"/>
          <w:lang w:val="en-US" w:eastAsia="zh-CN"/>
        </w:rPr>
        <w:t>具相关报告。</w:t>
      </w:r>
    </w:p>
    <w:p w14:paraId="29FD63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3.对本次报告编制过程中涉及的财务各方面问题，进行分析答疑。</w:t>
      </w:r>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w:t>
      </w:r>
      <w:r>
        <w:rPr>
          <w:rFonts w:hint="eastAsia" w:ascii="仿宋_GB2312" w:hAnsi="仿宋_GB2312" w:eastAsia="仿宋_GB2312" w:cs="仿宋_GB2312"/>
          <w:color w:val="auto"/>
          <w:sz w:val="32"/>
          <w:szCs w:val="32"/>
          <w:highlight w:val="none"/>
          <w:lang w:val="en-US" w:eastAsia="zh-CN"/>
        </w:rPr>
        <w:t>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highlight w:val="none"/>
          <w:lang w:eastAsia="zh-TW"/>
        </w:rPr>
      </w:pP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lang w:eastAsia="zh-TW"/>
        </w:rPr>
        <w:t>服务标准、期限、效率等要求</w:t>
      </w:r>
    </w:p>
    <w:p w14:paraId="6D776E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确定为中标人起10日内出具符合申报政府专项债要求的</w:t>
      </w:r>
      <w:r>
        <w:rPr>
          <w:rFonts w:hint="eastAsia" w:ascii="Times New Roman" w:hAnsi="Times New Roman" w:eastAsia="仿宋_GB2312" w:cs="Times New Roman"/>
          <w:color w:val="000000"/>
          <w:kern w:val="0"/>
          <w:sz w:val="32"/>
          <w:szCs w:val="32"/>
          <w:highlight w:val="none"/>
          <w:lang w:val="en-US" w:eastAsia="zh-CN" w:bidi="ar"/>
        </w:rPr>
        <w:t>项目收益与融资自求平衡专项评价报告</w:t>
      </w:r>
      <w:r>
        <w:rPr>
          <w:rFonts w:hint="eastAsia" w:ascii="仿宋_GB2312" w:hAnsi="仿宋_GB2312" w:eastAsia="仿宋_GB2312" w:cs="仿宋_GB2312"/>
          <w:color w:val="auto"/>
          <w:sz w:val="32"/>
          <w:szCs w:val="32"/>
          <w:highlight w:val="none"/>
          <w:lang w:val="en-US" w:eastAsia="zh-CN"/>
        </w:rPr>
        <w:t>不得以任何理由延迟交付。服务期限自中标结果公示之日起，到项目完成政府专项债申报工作，</w:t>
      </w:r>
      <w:r>
        <w:rPr>
          <w:rFonts w:hint="eastAsia" w:eastAsia="仿宋_GB2312" w:cs="Times New Roman"/>
          <w:color w:val="000000"/>
          <w:kern w:val="0"/>
          <w:sz w:val="32"/>
          <w:szCs w:val="32"/>
          <w:highlight w:val="none"/>
          <w:lang w:val="en-US" w:eastAsia="zh-CN" w:bidi="ar"/>
        </w:rPr>
        <w:t>并完成全部申报金额发行</w:t>
      </w:r>
      <w:r>
        <w:rPr>
          <w:rFonts w:hint="eastAsia" w:ascii="仿宋_GB2312" w:hAnsi="仿宋_GB2312" w:eastAsia="仿宋_GB2312" w:cs="仿宋_GB2312"/>
          <w:color w:val="auto"/>
          <w:sz w:val="32"/>
          <w:szCs w:val="32"/>
          <w:highlight w:val="none"/>
          <w:lang w:val="en-US" w:eastAsia="zh-CN"/>
        </w:rPr>
        <w:t>为止。</w:t>
      </w:r>
    </w:p>
    <w:p w14:paraId="1B593B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TW"/>
        </w:rPr>
      </w:pPr>
      <w:r>
        <w:rPr>
          <w:rFonts w:hint="eastAsia" w:ascii="仿宋_GB2312" w:hAnsi="仿宋_GB2312" w:eastAsia="仿宋_GB2312" w:cs="仿宋_GB2312"/>
          <w:color w:val="auto"/>
          <w:sz w:val="32"/>
          <w:szCs w:val="32"/>
          <w:highlight w:val="none"/>
          <w:lang w:val="en-US" w:eastAsia="zh-TW"/>
        </w:rPr>
        <w:t>以上要求</w:t>
      </w:r>
      <w:r>
        <w:rPr>
          <w:rFonts w:hint="eastAsia" w:ascii="仿宋_GB2312" w:hAnsi="仿宋_GB2312" w:eastAsia="仿宋_GB2312" w:cs="仿宋_GB2312"/>
          <w:color w:val="auto"/>
          <w:sz w:val="32"/>
          <w:szCs w:val="32"/>
          <w:highlight w:val="none"/>
          <w:lang w:val="en-US" w:eastAsia="zh-CN"/>
        </w:rPr>
        <w:t>投标人</w:t>
      </w:r>
      <w:r>
        <w:rPr>
          <w:rFonts w:hint="eastAsia" w:ascii="仿宋_GB2312" w:hAnsi="仿宋_GB2312" w:eastAsia="仿宋_GB2312" w:cs="仿宋_GB2312"/>
          <w:color w:val="auto"/>
          <w:sz w:val="32"/>
          <w:szCs w:val="32"/>
          <w:highlight w:val="none"/>
          <w:lang w:val="en-US" w:eastAsia="zh-TW"/>
        </w:rPr>
        <w:t>应等于或优于以上要求，不得低于此要求。</w:t>
      </w:r>
    </w:p>
    <w:p w14:paraId="165A3E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eastAsia="zh-TW"/>
        </w:rPr>
      </w:pPr>
      <w:r>
        <w:rPr>
          <w:rFonts w:hint="eastAsia" w:ascii="仿宋_GB2312" w:hAnsi="仿宋_GB2312" w:eastAsia="仿宋_GB2312" w:cs="仿宋_GB2312"/>
          <w:color w:val="auto"/>
          <w:sz w:val="32"/>
          <w:szCs w:val="32"/>
          <w:highlight w:val="none"/>
          <w:lang w:eastAsia="zh-TW"/>
        </w:rPr>
        <w:t>因中标人的过失，给</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lang w:eastAsia="zh-TW"/>
        </w:rPr>
        <w:t>或委托人造成经济损失的，应当依法赔偿</w:t>
      </w:r>
      <w:r>
        <w:rPr>
          <w:rFonts w:hint="eastAsia" w:ascii="仿宋_GB2312" w:hAnsi="仿宋_GB2312" w:eastAsia="仿宋_GB2312" w:cs="仿宋_GB2312"/>
          <w:color w:val="auto"/>
          <w:sz w:val="32"/>
          <w:szCs w:val="32"/>
          <w:highlight w:val="none"/>
          <w:lang w:eastAsia="zh-CN"/>
        </w:rPr>
        <w:t>。</w:t>
      </w:r>
    </w:p>
    <w:p w14:paraId="0BBA93D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highlight w:val="none"/>
          <w:lang w:val="zh-CN" w:eastAsia="zh-CN"/>
        </w:rPr>
      </w:pP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lang w:val="zh-CN" w:eastAsia="zh-CN"/>
        </w:rPr>
        <w:t>验收标准</w:t>
      </w:r>
    </w:p>
    <w:p w14:paraId="710FE5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color w:val="auto"/>
          <w:sz w:val="32"/>
          <w:szCs w:val="32"/>
          <w:highlight w:val="none"/>
          <w:lang w:val="en-US" w:eastAsia="zh-CN"/>
        </w:rPr>
        <w:t>获得满足项目申请政府专项债要求的《</w:t>
      </w:r>
      <w:r>
        <w:rPr>
          <w:rFonts w:hint="eastAsia" w:ascii="Times New Roman" w:hAnsi="Times New Roman" w:eastAsia="仿宋_GB2312" w:cs="Times New Roman"/>
          <w:color w:val="000000"/>
          <w:kern w:val="0"/>
          <w:sz w:val="32"/>
          <w:szCs w:val="32"/>
          <w:highlight w:val="none"/>
          <w:lang w:val="en-US" w:eastAsia="zh-CN" w:bidi="ar"/>
        </w:rPr>
        <w:t>项目收益与融资自求平衡专项评价报告</w:t>
      </w:r>
      <w:r>
        <w:rPr>
          <w:rFonts w:hint="eastAsia" w:eastAsia="仿宋_GB2312" w:cs="Times New Roman"/>
          <w:color w:val="000000"/>
          <w:kern w:val="0"/>
          <w:sz w:val="32"/>
          <w:szCs w:val="32"/>
          <w:highlight w:val="none"/>
          <w:lang w:val="en-US" w:eastAsia="zh-CN" w:bidi="ar"/>
        </w:rPr>
        <w:t>》并完成全部申报金额发行。</w:t>
      </w:r>
    </w:p>
    <w:p w14:paraId="41FE7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本项目单项</w:t>
      </w:r>
      <w:r>
        <w:rPr>
          <w:rFonts w:hint="eastAsia" w:ascii="仿宋_GB2312" w:hAnsi="仿宋_GB2312" w:eastAsia="仿宋_GB2312" w:cs="仿宋_GB2312"/>
          <w:color w:val="auto"/>
          <w:sz w:val="32"/>
          <w:szCs w:val="32"/>
          <w:highlight w:val="none"/>
          <w:lang w:val="en-US" w:eastAsia="zh-CN"/>
        </w:rPr>
        <w:t>咨询</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业务比选控制价</w:t>
      </w:r>
      <w:r>
        <w:rPr>
          <w:rFonts w:hint="eastAsia" w:ascii="仿宋_GB2312" w:hAnsi="仿宋_GB2312" w:eastAsia="仿宋_GB2312" w:cs="仿宋_GB2312"/>
          <w:color w:val="auto"/>
          <w:sz w:val="32"/>
          <w:szCs w:val="32"/>
          <w:highlight w:val="none"/>
          <w:lang w:val="zh-CN" w:eastAsia="zh-CN"/>
        </w:rPr>
        <w:t>为</w:t>
      </w:r>
      <w:r>
        <w:rPr>
          <w:rFonts w:hint="eastAsia" w:ascii="仿宋_GB2312" w:hAnsi="仿宋_GB2312" w:eastAsia="仿宋_GB2312" w:cs="仿宋_GB2312"/>
          <w:color w:val="auto"/>
          <w:sz w:val="32"/>
          <w:szCs w:val="32"/>
          <w:highlight w:val="none"/>
          <w:lang w:val="en-US" w:eastAsia="zh-CN"/>
        </w:rPr>
        <w:t>11万元</w:t>
      </w:r>
      <w:r>
        <w:rPr>
          <w:rFonts w:hint="eastAsia" w:ascii="仿宋_GB2312" w:hAnsi="仿宋_GB2312" w:eastAsia="仿宋_GB2312" w:cs="仿宋_GB2312"/>
          <w:color w:val="auto"/>
          <w:sz w:val="32"/>
          <w:szCs w:val="32"/>
          <w:highlight w:val="none"/>
          <w:lang w:val="zh-CN" w:eastAsia="zh-CN"/>
        </w:rPr>
        <w:t>，超出</w:t>
      </w:r>
      <w:r>
        <w:rPr>
          <w:rFonts w:hint="eastAsia" w:ascii="仿宋_GB2312" w:hAnsi="仿宋_GB2312" w:eastAsia="仿宋_GB2312" w:cs="仿宋_GB2312"/>
          <w:color w:val="auto"/>
          <w:sz w:val="32"/>
          <w:szCs w:val="32"/>
          <w:highlight w:val="none"/>
          <w:lang w:val="en-US" w:eastAsia="zh-CN"/>
        </w:rPr>
        <w:t>比选控制价</w:t>
      </w:r>
      <w:r>
        <w:rPr>
          <w:rFonts w:hint="eastAsia" w:ascii="仿宋_GB2312" w:hAnsi="仿宋_GB2312" w:eastAsia="仿宋_GB2312" w:cs="仿宋_GB2312"/>
          <w:color w:val="auto"/>
          <w:sz w:val="32"/>
          <w:szCs w:val="32"/>
          <w:highlight w:val="none"/>
          <w:lang w:val="zh-CN" w:eastAsia="zh-CN"/>
        </w:rPr>
        <w:t>的投标无效</w:t>
      </w:r>
      <w:r>
        <w:rPr>
          <w:rFonts w:hint="eastAsia" w:ascii="仿宋_GB2312" w:hAnsi="仿宋_GB2312" w:eastAsia="仿宋_GB2312" w:cs="仿宋_GB2312"/>
          <w:color w:val="auto"/>
          <w:sz w:val="32"/>
          <w:szCs w:val="32"/>
          <w:lang w:val="zh-CN"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财务评价服务合同约定执行。</w:t>
      </w:r>
    </w:p>
    <w:p w14:paraId="214E340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0B3073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55E5E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zh-CN"/>
              </w:rPr>
              <w:t>项目</w:t>
            </w:r>
            <w:r>
              <w:rPr>
                <w:rFonts w:hint="eastAsia" w:ascii="仿宋" w:hAnsi="仿宋" w:eastAsia="仿宋" w:cs="仿宋"/>
                <w:color w:val="auto"/>
                <w:sz w:val="24"/>
                <w:szCs w:val="24"/>
                <w:lang w:val="zh-CN" w:eastAsia="zh-CN"/>
              </w:rPr>
              <w:t>名称：</w:t>
            </w:r>
            <w:r>
              <w:rPr>
                <w:rFonts w:hint="eastAsia" w:ascii="仿宋" w:hAnsi="仿宋" w:eastAsia="仿宋" w:cs="仿宋"/>
                <w:color w:val="auto"/>
                <w:sz w:val="24"/>
                <w:szCs w:val="24"/>
                <w:lang w:val="en-US" w:eastAsia="zh-CN"/>
              </w:rPr>
              <w:t>许昌市中心城区雨污水管网改造提升项目</w:t>
            </w:r>
            <w:r>
              <w:rPr>
                <w:rFonts w:hint="default" w:ascii="仿宋" w:hAnsi="仿宋" w:eastAsia="仿宋" w:cs="仿宋"/>
                <w:color w:val="auto"/>
                <w:sz w:val="24"/>
                <w:szCs w:val="24"/>
                <w:lang w:val="en-US" w:eastAsia="zh-CN"/>
              </w:rPr>
              <w:t>申报政府专项债</w:t>
            </w:r>
            <w:r>
              <w:rPr>
                <w:rFonts w:hint="eastAsia" w:ascii="仿宋" w:hAnsi="仿宋" w:eastAsia="仿宋" w:cs="仿宋"/>
                <w:color w:val="auto"/>
                <w:sz w:val="24"/>
                <w:szCs w:val="24"/>
                <w:lang w:val="en-US" w:eastAsia="zh-CN"/>
              </w:rPr>
              <w:t>财务评价</w:t>
            </w:r>
            <w:r>
              <w:rPr>
                <w:rFonts w:hint="default" w:ascii="仿宋" w:hAnsi="仿宋" w:eastAsia="仿宋" w:cs="仿宋"/>
                <w:color w:val="auto"/>
                <w:sz w:val="24"/>
                <w:szCs w:val="24"/>
                <w:lang w:val="en-US" w:eastAsia="zh-CN"/>
              </w:rPr>
              <w:t>服务</w:t>
            </w:r>
          </w:p>
          <w:p w14:paraId="7AF5F8C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lang w:val="en-US" w:eastAsia="zh-CN"/>
              </w:rPr>
              <w:t>在本次申报专项债过程中，配合“比选人”完成项目相关财务评价咨询服务，并出具《收益与融资自求平衡专项评价报告》，对报告中相关数据进行审查整理工作，出具正式版报告；</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28C5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招</w:t>
            </w:r>
            <w:r>
              <w:rPr>
                <w:rFonts w:hint="eastAsia" w:ascii="仿宋" w:hAnsi="仿宋" w:eastAsia="仿宋" w:cs="仿宋"/>
                <w:bCs/>
                <w:color w:val="auto"/>
                <w:sz w:val="24"/>
                <w:szCs w:val="24"/>
                <w:highlight w:val="none"/>
                <w:lang w:val="zh-CN" w:eastAsia="zh-CN"/>
              </w:rPr>
              <w:t>标</w:t>
            </w:r>
            <w:r>
              <w:rPr>
                <w:rFonts w:hint="eastAsia" w:ascii="仿宋" w:hAnsi="仿宋" w:eastAsia="仿宋" w:cs="仿宋"/>
                <w:bCs/>
                <w:color w:val="auto"/>
                <w:sz w:val="24"/>
                <w:szCs w:val="24"/>
                <w:highlight w:val="none"/>
                <w:lang w:val="en-US" w:eastAsia="zh-CN"/>
              </w:rPr>
              <w:t>人</w:t>
            </w:r>
            <w:r>
              <w:rPr>
                <w:rFonts w:hint="eastAsia" w:ascii="仿宋" w:hAnsi="仿宋" w:eastAsia="仿宋" w:cs="仿宋"/>
                <w:bCs/>
                <w:color w:val="auto"/>
                <w:sz w:val="24"/>
                <w:szCs w:val="24"/>
                <w:highlight w:val="none"/>
                <w:lang w:val="zh-CN" w:eastAsia="zh-CN"/>
              </w:rPr>
              <w:t>名称：</w:t>
            </w:r>
            <w:r>
              <w:rPr>
                <w:rFonts w:hint="eastAsia" w:ascii="仿宋" w:hAnsi="仿宋" w:eastAsia="仿宋" w:cs="仿宋"/>
                <w:bCs/>
                <w:color w:val="auto"/>
                <w:sz w:val="24"/>
                <w:szCs w:val="24"/>
                <w:highlight w:val="none"/>
                <w:lang w:val="en-US" w:eastAsia="zh-CN"/>
              </w:rPr>
              <w:t>许昌市建设投资有限责任公司</w:t>
            </w:r>
          </w:p>
          <w:p w14:paraId="538365FE">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河南省许昌市建安大道财政综合大楼816房间。</w:t>
            </w:r>
          </w:p>
          <w:p w14:paraId="0896E916">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化先生</w:t>
            </w:r>
            <w:r>
              <w:rPr>
                <w:rFonts w:hint="eastAsia" w:ascii="仿宋" w:hAnsi="仿宋" w:eastAsia="仿宋" w:cs="仿宋"/>
                <w:bCs/>
                <w:color w:val="auto"/>
                <w:sz w:val="24"/>
                <w:szCs w:val="24"/>
                <w:highlight w:val="none"/>
                <w:lang w:eastAsia="zh-CN"/>
              </w:rPr>
              <w:t xml:space="preserve">          </w:t>
            </w:r>
          </w:p>
          <w:p w14:paraId="412AE79D">
            <w:pPr>
              <w:autoSpaceDE w:val="0"/>
              <w:autoSpaceDN w:val="0"/>
              <w:adjustRightInd w:val="0"/>
              <w:spacing w:line="540" w:lineRule="exact"/>
              <w:ind w:right="-11" w:rightChars="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0151D2B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9773CE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205332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F3301">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6DF3C876">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68F58A0E">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val="zh-CN"/>
              </w:rPr>
              <w:t>在中华人民共和国境内注册，具备独立法人资格，持有合法有效的企业法人营业执照；</w:t>
            </w:r>
          </w:p>
          <w:p w14:paraId="28C0BDAE">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2.具备出具申报政府专项债相关财务评价报告的成功经验；</w:t>
            </w:r>
          </w:p>
          <w:p w14:paraId="434B8F29">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2E410082">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w:t>
            </w:r>
            <w:r>
              <w:rPr>
                <w:rFonts w:hint="eastAsia" w:ascii="仿宋" w:hAnsi="仿宋" w:eastAsia="仿宋" w:cs="仿宋"/>
                <w:color w:val="auto"/>
                <w:sz w:val="24"/>
                <w:szCs w:val="24"/>
                <w:highlight w:val="none"/>
                <w:lang w:val="en-US" w:eastAsia="zh-CN"/>
              </w:rPr>
              <w:t>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11万元</w:t>
            </w:r>
            <w:r>
              <w:rPr>
                <w:rFonts w:hint="eastAsia" w:ascii="仿宋" w:hAnsi="仿宋" w:eastAsia="仿宋" w:cs="仿宋"/>
                <w:color w:val="auto"/>
                <w:sz w:val="24"/>
                <w:szCs w:val="24"/>
                <w:highlight w:val="none"/>
                <w:lang w:val="zh-CN" w:eastAsia="zh-CN"/>
              </w:rPr>
              <w:t>，超出最高限价的投标无效。</w:t>
            </w:r>
          </w:p>
          <w:p w14:paraId="2C451DD3">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263405B4">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65D1302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800B03D">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2DB35695">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eastAsia" w:ascii="仿宋" w:hAnsi="仿宋" w:eastAsia="仿宋" w:cs="仿宋"/>
                <w:color w:val="auto"/>
                <w:sz w:val="24"/>
                <w:szCs w:val="24"/>
                <w:highlight w:val="yellow"/>
                <w:lang w:val="zh-CN" w:eastAsia="zh-CN"/>
              </w:rPr>
            </w:pPr>
            <w:r>
              <w:rPr>
                <w:rFonts w:hint="eastAsia" w:ascii="仿宋" w:hAnsi="仿宋" w:eastAsia="仿宋" w:cs="仿宋"/>
                <w:color w:val="auto"/>
                <w:sz w:val="24"/>
                <w:szCs w:val="24"/>
                <w:highlight w:val="none"/>
                <w:lang w:val="en-US" w:eastAsia="zh-CN"/>
              </w:rPr>
              <w:t>2026</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3月4日17</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val="zh-CN" w:eastAsia="zh-CN"/>
              </w:rPr>
              <w:t>分（北京时间）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河南省许昌市建安大道财政综合大楼816房间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097BD2E5">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7DCACE24">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1FC325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66D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35A1550">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335E3CBD">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004" w:type="dxa"/>
            <w:vAlign w:val="center"/>
          </w:tcPr>
          <w:p w14:paraId="6E2144F9">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575" w:type="dxa"/>
            <w:vAlign w:val="center"/>
          </w:tcPr>
          <w:p w14:paraId="2A0DAA6C">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3A2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D3D8247">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4FBBA261">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25分</w:t>
            </w:r>
          </w:p>
        </w:tc>
        <w:tc>
          <w:tcPr>
            <w:tcW w:w="4004" w:type="dxa"/>
            <w:vAlign w:val="center"/>
          </w:tcPr>
          <w:p w14:paraId="67AD9363">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1.收费超过</w:t>
            </w:r>
            <w:r>
              <w:rPr>
                <w:rFonts w:hint="eastAsia" w:ascii="宋体" w:hAnsi="宋体" w:cs="宋体"/>
                <w:color w:val="auto"/>
                <w:kern w:val="0"/>
                <w:sz w:val="28"/>
                <w:szCs w:val="28"/>
                <w:lang w:val="en-US" w:eastAsia="zh-CN" w:bidi="ar"/>
              </w:rPr>
              <w:t>11万元</w:t>
            </w:r>
            <w:r>
              <w:rPr>
                <w:rFonts w:hint="eastAsia" w:ascii="宋体" w:hAnsi="宋体" w:cs="宋体"/>
                <w:color w:val="auto"/>
                <w:kern w:val="0"/>
                <w:sz w:val="28"/>
                <w:szCs w:val="28"/>
                <w:lang w:bidi="ar"/>
              </w:rPr>
              <w:t>为无效报价；</w:t>
            </w:r>
          </w:p>
          <w:p w14:paraId="1026BD8A">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2.所有参与的</w:t>
            </w:r>
            <w:r>
              <w:rPr>
                <w:rFonts w:hint="eastAsia" w:ascii="宋体" w:hAnsi="宋体" w:cs="宋体"/>
                <w:color w:val="auto"/>
                <w:kern w:val="0"/>
                <w:sz w:val="28"/>
                <w:szCs w:val="28"/>
                <w:lang w:eastAsia="zh-CN" w:bidi="ar"/>
              </w:rPr>
              <w:t>比选</w:t>
            </w:r>
            <w:r>
              <w:rPr>
                <w:rFonts w:hint="eastAsia" w:ascii="宋体" w:hAnsi="宋体" w:cs="宋体"/>
                <w:color w:val="auto"/>
                <w:kern w:val="0"/>
                <w:sz w:val="28"/>
                <w:szCs w:val="28"/>
                <w:lang w:bidi="ar"/>
              </w:rPr>
              <w:t>申请人最低的有效报价为基准报价；</w:t>
            </w:r>
          </w:p>
          <w:p w14:paraId="258EFDF0">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3.报价得分=（基准报价/报价）×</w:t>
            </w:r>
            <w:r>
              <w:rPr>
                <w:rFonts w:hint="eastAsia" w:ascii="宋体" w:hAnsi="宋体" w:cs="宋体"/>
                <w:color w:val="auto"/>
                <w:kern w:val="0"/>
                <w:sz w:val="28"/>
                <w:szCs w:val="28"/>
                <w:lang w:val="en-US" w:eastAsia="zh-CN" w:bidi="ar"/>
              </w:rPr>
              <w:t>25</w:t>
            </w:r>
            <w:r>
              <w:rPr>
                <w:rFonts w:hint="eastAsia" w:ascii="宋体" w:hAnsi="宋体" w:cs="宋体"/>
                <w:color w:val="auto"/>
                <w:kern w:val="0"/>
                <w:sz w:val="28"/>
                <w:szCs w:val="28"/>
                <w:lang w:bidi="ar"/>
              </w:rPr>
              <w:t>分。</w:t>
            </w:r>
          </w:p>
        </w:tc>
        <w:tc>
          <w:tcPr>
            <w:tcW w:w="1575" w:type="dxa"/>
            <w:vAlign w:val="center"/>
          </w:tcPr>
          <w:p w14:paraId="73E5DC42">
            <w:pPr>
              <w:tabs>
                <w:tab w:val="left" w:pos="622"/>
              </w:tabs>
              <w:jc w:val="center"/>
              <w:rPr>
                <w:rFonts w:hint="eastAsia" w:ascii="宋体" w:hAnsi="宋体"/>
                <w:color w:val="auto"/>
                <w:sz w:val="24"/>
              </w:rPr>
            </w:pPr>
          </w:p>
        </w:tc>
      </w:tr>
      <w:tr w14:paraId="2F97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590" w:type="dxa"/>
            <w:vAlign w:val="center"/>
          </w:tcPr>
          <w:p w14:paraId="156E8C3B">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1DFBA3E2">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分</w:t>
            </w:r>
          </w:p>
        </w:tc>
        <w:tc>
          <w:tcPr>
            <w:tcW w:w="4004" w:type="dxa"/>
            <w:vAlign w:val="center"/>
          </w:tcPr>
          <w:p w14:paraId="6FF9B582">
            <w:pPr>
              <w:tabs>
                <w:tab w:val="left" w:pos="622"/>
              </w:tabs>
              <w:spacing w:line="440" w:lineRule="exact"/>
              <w:jc w:val="left"/>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服务本次财务评价咨询业务的团队成员，每有1名注册会计师或取得中级及以上会计职称的得5分，最高20分。</w:t>
            </w:r>
            <w:r>
              <w:rPr>
                <w:rFonts w:hint="eastAsia" w:ascii="Times New Roman" w:hAnsi="Times New Roman" w:eastAsia="仿宋" w:cs="Times New Roman"/>
                <w:color w:val="000000"/>
                <w:kern w:val="0"/>
                <w:sz w:val="28"/>
                <w:szCs w:val="28"/>
                <w:highlight w:val="none"/>
                <w:lang w:val="en-US" w:eastAsia="zh-CN" w:bidi="ar"/>
              </w:rPr>
              <w:t>注：以上人员证书除提供证明文件复印件或扫描件外同时应提供投标人为该人员缴纳近1年内任意连续3个月的社保证明材料，否则不得分。</w:t>
            </w:r>
          </w:p>
        </w:tc>
        <w:tc>
          <w:tcPr>
            <w:tcW w:w="1575" w:type="dxa"/>
            <w:vAlign w:val="center"/>
          </w:tcPr>
          <w:p w14:paraId="57BDFCE9">
            <w:pPr>
              <w:tabs>
                <w:tab w:val="left" w:pos="622"/>
              </w:tabs>
              <w:jc w:val="center"/>
              <w:rPr>
                <w:rFonts w:hint="eastAsia" w:ascii="宋体" w:hAnsi="宋体"/>
                <w:color w:val="auto"/>
                <w:sz w:val="24"/>
              </w:rPr>
            </w:pPr>
          </w:p>
        </w:tc>
      </w:tr>
      <w:tr w14:paraId="376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6" w:hRule="atLeast"/>
        </w:trPr>
        <w:tc>
          <w:tcPr>
            <w:tcW w:w="1590" w:type="dxa"/>
            <w:vAlign w:val="center"/>
          </w:tcPr>
          <w:p w14:paraId="689ABCBE">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54CACBE6">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35分</w:t>
            </w:r>
          </w:p>
        </w:tc>
        <w:tc>
          <w:tcPr>
            <w:tcW w:w="4004" w:type="dxa"/>
            <w:vAlign w:val="center"/>
          </w:tcPr>
          <w:p w14:paraId="4D304C23">
            <w:pPr>
              <w:tabs>
                <w:tab w:val="left" w:pos="622"/>
              </w:tabs>
              <w:spacing w:line="440" w:lineRule="exact"/>
              <w:jc w:val="left"/>
              <w:rPr>
                <w:rFonts w:hint="eastAsia" w:ascii="宋体" w:hAnsi="宋体"/>
                <w:color w:val="auto"/>
                <w:sz w:val="28"/>
                <w:szCs w:val="28"/>
                <w:lang w:val="en-US" w:eastAsia="zh-CN"/>
              </w:rPr>
            </w:pPr>
            <w:r>
              <w:rPr>
                <w:rFonts w:hint="eastAsia" w:ascii="宋体" w:hAnsi="宋体"/>
                <w:color w:val="auto"/>
                <w:sz w:val="28"/>
                <w:szCs w:val="28"/>
                <w:lang w:val="en-US" w:eastAsia="zh-CN"/>
              </w:rPr>
              <w:t>1.提供财务评价咨询服务时间安排优秀的得8—15分，良好的得1—7分，没有不得分；</w:t>
            </w:r>
          </w:p>
          <w:p w14:paraId="2FFE0266">
            <w:pPr>
              <w:tabs>
                <w:tab w:val="left" w:pos="622"/>
              </w:tabs>
              <w:spacing w:line="440" w:lineRule="exact"/>
              <w:jc w:val="left"/>
              <w:rPr>
                <w:rFonts w:hint="default" w:ascii="宋体" w:hAnsi="宋体"/>
                <w:color w:val="auto"/>
                <w:sz w:val="28"/>
                <w:szCs w:val="28"/>
                <w:lang w:val="en-US" w:eastAsia="zh-CN"/>
              </w:rPr>
            </w:pPr>
            <w:r>
              <w:rPr>
                <w:rFonts w:hint="eastAsia" w:ascii="宋体" w:hAnsi="宋体"/>
                <w:color w:val="auto"/>
                <w:sz w:val="28"/>
                <w:szCs w:val="28"/>
                <w:lang w:val="en-US" w:eastAsia="zh-CN"/>
              </w:rPr>
              <w:t>2.服务方案详细、全面、可行，项目申报政府专项债过程中涉及与可研单位、律师事务所、实施方案咨询单位、财政评审人员等协调沟通有关内容、困难问题和解决方案等要素，方案和举措优秀的得11—20分，良好的得1—10分，没有不得分。</w:t>
            </w:r>
          </w:p>
        </w:tc>
        <w:tc>
          <w:tcPr>
            <w:tcW w:w="1575" w:type="dxa"/>
            <w:vAlign w:val="center"/>
          </w:tcPr>
          <w:p w14:paraId="2EAF78A0">
            <w:pPr>
              <w:tabs>
                <w:tab w:val="left" w:pos="622"/>
              </w:tabs>
              <w:jc w:val="center"/>
              <w:rPr>
                <w:rFonts w:hint="eastAsia" w:ascii="宋体" w:hAnsi="宋体"/>
                <w:color w:val="auto"/>
                <w:sz w:val="24"/>
              </w:rPr>
            </w:pPr>
          </w:p>
        </w:tc>
      </w:tr>
      <w:tr w14:paraId="71F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1590" w:type="dxa"/>
            <w:vAlign w:val="center"/>
          </w:tcPr>
          <w:p w14:paraId="2DF1D5A0">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服务业绩</w:t>
            </w:r>
          </w:p>
        </w:tc>
        <w:tc>
          <w:tcPr>
            <w:tcW w:w="1353" w:type="dxa"/>
            <w:vAlign w:val="center"/>
          </w:tcPr>
          <w:p w14:paraId="6C360AEC">
            <w:pPr>
              <w:tabs>
                <w:tab w:val="left" w:pos="622"/>
              </w:tabs>
              <w:jc w:val="center"/>
              <w:rPr>
                <w:rFonts w:hint="eastAsia" w:ascii="宋体" w:hAnsi="宋体" w:eastAsia="宋体"/>
                <w:b/>
                <w:color w:val="auto"/>
                <w:sz w:val="30"/>
                <w:szCs w:val="30"/>
                <w:lang w:val="en-US" w:eastAsia="zh-CN"/>
              </w:rPr>
            </w:pPr>
            <w:r>
              <w:rPr>
                <w:rFonts w:hint="eastAsia" w:ascii="宋体" w:hAnsi="宋体"/>
                <w:color w:val="auto"/>
                <w:sz w:val="28"/>
                <w:szCs w:val="28"/>
                <w:lang w:val="en-US" w:eastAsia="zh-CN"/>
              </w:rPr>
              <w:t>20分</w:t>
            </w:r>
          </w:p>
        </w:tc>
        <w:tc>
          <w:tcPr>
            <w:tcW w:w="4004" w:type="dxa"/>
            <w:vAlign w:val="center"/>
          </w:tcPr>
          <w:p w14:paraId="3153CA00">
            <w:pPr>
              <w:tabs>
                <w:tab w:val="left" w:pos="622"/>
              </w:tabs>
              <w:spacing w:line="440" w:lineRule="exact"/>
              <w:jc w:val="left"/>
              <w:rPr>
                <w:rFonts w:hint="eastAsia" w:ascii="宋体" w:hAnsi="宋体" w:eastAsia="宋体"/>
                <w:color w:val="auto"/>
                <w:sz w:val="24"/>
                <w:lang w:val="en-US" w:eastAsia="zh-CN"/>
              </w:rPr>
            </w:pPr>
            <w:r>
              <w:rPr>
                <w:rFonts w:hint="eastAsia" w:ascii="宋体" w:hAnsi="宋体"/>
                <w:color w:val="auto"/>
                <w:sz w:val="28"/>
                <w:szCs w:val="28"/>
                <w:lang w:val="en-US" w:eastAsia="zh-CN"/>
              </w:rPr>
              <w:t>每提供一份成功申报政府专项债项目财务评价报告业绩合同证明材料的得5分，最高20分。（服务业绩要求为近三年取得，即2023年1月1日后业绩。）</w:t>
            </w:r>
          </w:p>
        </w:tc>
        <w:tc>
          <w:tcPr>
            <w:tcW w:w="1575" w:type="dxa"/>
            <w:vAlign w:val="center"/>
          </w:tcPr>
          <w:p w14:paraId="293DB9C5">
            <w:pPr>
              <w:tabs>
                <w:tab w:val="left" w:pos="622"/>
              </w:tabs>
              <w:jc w:val="center"/>
              <w:rPr>
                <w:rFonts w:hint="eastAsia" w:ascii="宋体" w:hAnsi="宋体"/>
                <w:color w:val="auto"/>
                <w:sz w:val="24"/>
              </w:rPr>
            </w:pPr>
          </w:p>
        </w:tc>
      </w:tr>
      <w:tr w14:paraId="50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F7352D">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1656E700">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004" w:type="dxa"/>
            <w:vAlign w:val="center"/>
          </w:tcPr>
          <w:p w14:paraId="64EB755F">
            <w:pPr>
              <w:tabs>
                <w:tab w:val="left" w:pos="622"/>
              </w:tabs>
              <w:jc w:val="center"/>
              <w:rPr>
                <w:rFonts w:hint="eastAsia" w:ascii="宋体" w:hAnsi="宋体"/>
                <w:color w:val="auto"/>
                <w:sz w:val="24"/>
              </w:rPr>
            </w:pPr>
          </w:p>
        </w:tc>
        <w:tc>
          <w:tcPr>
            <w:tcW w:w="1575" w:type="dxa"/>
            <w:vAlign w:val="center"/>
          </w:tcPr>
          <w:p w14:paraId="62151E46">
            <w:pPr>
              <w:tabs>
                <w:tab w:val="left" w:pos="622"/>
              </w:tabs>
              <w:jc w:val="center"/>
              <w:rPr>
                <w:rFonts w:hint="eastAsia" w:ascii="宋体" w:hAnsi="宋体"/>
                <w:color w:val="auto"/>
                <w:sz w:val="24"/>
              </w:rPr>
            </w:pPr>
          </w:p>
        </w:tc>
      </w:tr>
    </w:tbl>
    <w:p w14:paraId="55658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54818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40F1D0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491446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5E1C7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1A9B4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7FC264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53C26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1EC3CF97">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3C165F07">
      <w:pPr>
        <w:spacing w:line="360" w:lineRule="auto"/>
        <w:jc w:val="both"/>
        <w:rPr>
          <w:rFonts w:hint="eastAsia" w:ascii="仿宋" w:hAnsi="仿宋" w:eastAsia="仿宋" w:cs="仿宋"/>
          <w:b/>
          <w:color w:val="auto"/>
          <w:sz w:val="40"/>
          <w:szCs w:val="40"/>
          <w:shd w:val="clear" w:color="060000" w:fill="auto"/>
        </w:rPr>
      </w:pPr>
    </w:p>
    <w:p w14:paraId="207ED91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5FEEB364">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433C6482">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4023138"/>
      <w:bookmarkStart w:id="7" w:name="_Toc186274126"/>
      <w:bookmarkStart w:id="8" w:name="_Toc174185203"/>
    </w:p>
    <w:p w14:paraId="276CD027">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763B9BB1">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许昌市中心城区雨污水管网改造提升项目</w:t>
      </w:r>
    </w:p>
    <w:p w14:paraId="6AEB04B2">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申报政府专项债财务评价服务</w:t>
      </w:r>
    </w:p>
    <w:p w14:paraId="11DDC0CF">
      <w:pPr>
        <w:jc w:val="center"/>
        <w:rPr>
          <w:rFonts w:hint="eastAsia" w:ascii="微软雅黑" w:hAnsi="微软雅黑" w:eastAsia="微软雅黑" w:cs="微软雅黑"/>
          <w:b w:val="0"/>
          <w:bCs w:val="0"/>
          <w:color w:val="auto"/>
          <w:kern w:val="36"/>
          <w:sz w:val="40"/>
          <w:szCs w:val="40"/>
          <w:highlight w:val="none"/>
          <w:shd w:val="clear" w:color="auto" w:fill="auto"/>
          <w:lang w:val="en-US" w:eastAsia="zh-CN" w:bidi="ar-SA"/>
        </w:rPr>
      </w:pPr>
    </w:p>
    <w:p w14:paraId="238A4522">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1A5BF760">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4E27AF4E">
      <w:pPr>
        <w:jc w:val="both"/>
        <w:rPr>
          <w:rFonts w:hint="eastAsia" w:ascii="仿宋" w:hAnsi="仿宋" w:eastAsia="仿宋" w:cs="仿宋"/>
          <w:color w:val="auto"/>
          <w:sz w:val="28"/>
          <w:szCs w:val="28"/>
          <w:shd w:val="clear" w:color="050000" w:fill="auto"/>
        </w:rPr>
      </w:pPr>
    </w:p>
    <w:p w14:paraId="015DC003">
      <w:pPr>
        <w:jc w:val="center"/>
        <w:rPr>
          <w:rFonts w:hint="eastAsia" w:ascii="仿宋" w:hAnsi="仿宋" w:eastAsia="仿宋" w:cs="仿宋"/>
          <w:color w:val="auto"/>
          <w:sz w:val="28"/>
          <w:szCs w:val="28"/>
          <w:shd w:val="clear" w:color="050000" w:fill="auto"/>
        </w:rPr>
      </w:pPr>
    </w:p>
    <w:p w14:paraId="76F8C521">
      <w:pPr>
        <w:rPr>
          <w:rFonts w:hint="eastAsia" w:ascii="仿宋" w:hAnsi="仿宋" w:eastAsia="仿宋" w:cs="仿宋"/>
          <w:color w:val="auto"/>
          <w:sz w:val="28"/>
          <w:szCs w:val="28"/>
          <w:shd w:val="clear" w:color="050000" w:fill="auto"/>
        </w:rPr>
      </w:pPr>
    </w:p>
    <w:p w14:paraId="0F7EC208">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29754308">
      <w:pPr>
        <w:pStyle w:val="3"/>
        <w:numPr>
          <w:ilvl w:val="1"/>
          <w:numId w:val="0"/>
        </w:numPr>
        <w:rPr>
          <w:rFonts w:hint="eastAsia" w:ascii="仿宋" w:hAnsi="仿宋" w:eastAsia="仿宋" w:cs="仿宋"/>
          <w:color w:val="auto"/>
          <w:sz w:val="32"/>
          <w:szCs w:val="32"/>
        </w:rPr>
      </w:pPr>
    </w:p>
    <w:p w14:paraId="05809DAF">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1F7A85EE">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5E8EF73C">
      <w:pPr>
        <w:pStyle w:val="9"/>
        <w:spacing w:line="360" w:lineRule="auto"/>
        <w:jc w:val="center"/>
        <w:rPr>
          <w:rFonts w:hint="eastAsia" w:ascii="仿宋" w:hAnsi="仿宋" w:eastAsia="仿宋" w:cs="仿宋"/>
          <w:b/>
          <w:snapToGrid w:val="0"/>
          <w:color w:val="auto"/>
          <w:kern w:val="0"/>
          <w:sz w:val="36"/>
          <w:szCs w:val="36"/>
          <w:lang w:val="zh-CN" w:eastAsia="zh-CN"/>
        </w:rPr>
      </w:pPr>
    </w:p>
    <w:p w14:paraId="151837D5">
      <w:pPr>
        <w:pStyle w:val="9"/>
        <w:spacing w:line="360" w:lineRule="auto"/>
        <w:jc w:val="center"/>
        <w:rPr>
          <w:rFonts w:hint="eastAsia" w:ascii="仿宋" w:hAnsi="仿宋" w:eastAsia="仿宋" w:cs="仿宋"/>
          <w:b/>
          <w:snapToGrid w:val="0"/>
          <w:color w:val="auto"/>
          <w:kern w:val="0"/>
          <w:sz w:val="36"/>
          <w:szCs w:val="36"/>
          <w:lang w:val="zh-CN" w:eastAsia="zh-CN"/>
        </w:rPr>
      </w:pPr>
    </w:p>
    <w:p w14:paraId="137C5ECC">
      <w:pPr>
        <w:pStyle w:val="9"/>
        <w:spacing w:line="360" w:lineRule="auto"/>
        <w:jc w:val="center"/>
        <w:rPr>
          <w:rFonts w:hint="eastAsia" w:ascii="仿宋" w:hAnsi="仿宋" w:eastAsia="仿宋" w:cs="仿宋"/>
          <w:b/>
          <w:snapToGrid w:val="0"/>
          <w:color w:val="auto"/>
          <w:kern w:val="0"/>
          <w:sz w:val="36"/>
          <w:szCs w:val="36"/>
          <w:lang w:val="zh-CN" w:eastAsia="zh-CN"/>
        </w:rPr>
      </w:pPr>
    </w:p>
    <w:p w14:paraId="7BAD6E1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2D4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4ADDF61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11BFCFA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6DD99FD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79894D0A">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4F032B2B">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6E98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735E80">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6ACE132C">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0D652DB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3B5BF8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16E67D9">
            <w:pPr>
              <w:snapToGrid w:val="0"/>
              <w:spacing w:line="540" w:lineRule="exact"/>
              <w:rPr>
                <w:rFonts w:hint="eastAsia" w:ascii="仿宋" w:hAnsi="仿宋" w:eastAsia="仿宋" w:cs="仿宋"/>
                <w:color w:val="auto"/>
                <w:sz w:val="22"/>
                <w:szCs w:val="22"/>
                <w:highlight w:val="none"/>
              </w:rPr>
            </w:pPr>
          </w:p>
        </w:tc>
      </w:tr>
      <w:tr w14:paraId="234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02CED3">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141ECF98">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7390331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20B4D2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390060B">
            <w:pPr>
              <w:snapToGrid w:val="0"/>
              <w:spacing w:line="540" w:lineRule="exact"/>
              <w:rPr>
                <w:rFonts w:hint="eastAsia" w:ascii="仿宋" w:hAnsi="仿宋" w:eastAsia="仿宋" w:cs="仿宋"/>
                <w:color w:val="auto"/>
                <w:sz w:val="22"/>
                <w:szCs w:val="22"/>
                <w:highlight w:val="none"/>
              </w:rPr>
            </w:pPr>
          </w:p>
        </w:tc>
      </w:tr>
      <w:tr w14:paraId="7E09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8A142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59E9DEB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4B4EC181">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CE34C3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F959DA">
            <w:pPr>
              <w:snapToGrid w:val="0"/>
              <w:spacing w:line="540" w:lineRule="exact"/>
              <w:rPr>
                <w:rFonts w:hint="eastAsia" w:ascii="仿宋" w:hAnsi="仿宋" w:eastAsia="仿宋" w:cs="仿宋"/>
                <w:color w:val="auto"/>
                <w:sz w:val="22"/>
                <w:szCs w:val="22"/>
                <w:highlight w:val="none"/>
              </w:rPr>
            </w:pPr>
          </w:p>
        </w:tc>
      </w:tr>
      <w:tr w14:paraId="49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C5D708">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22C1F4FC">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营业执照等（或会计执业许可材料）</w:t>
            </w:r>
          </w:p>
        </w:tc>
        <w:tc>
          <w:tcPr>
            <w:tcW w:w="1583" w:type="dxa"/>
            <w:vAlign w:val="center"/>
          </w:tcPr>
          <w:p w14:paraId="6D844527">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77636B3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3A557D">
            <w:pPr>
              <w:snapToGrid w:val="0"/>
              <w:spacing w:line="540" w:lineRule="exact"/>
              <w:rPr>
                <w:rFonts w:hint="eastAsia" w:ascii="仿宋" w:hAnsi="仿宋" w:eastAsia="仿宋" w:cs="仿宋"/>
                <w:color w:val="auto"/>
                <w:sz w:val="22"/>
                <w:szCs w:val="22"/>
                <w:highlight w:val="none"/>
              </w:rPr>
            </w:pPr>
          </w:p>
        </w:tc>
      </w:tr>
      <w:tr w14:paraId="66B8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177C6F">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6C2F8FCE">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61DE374F">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6F51C0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CBF579">
            <w:pPr>
              <w:snapToGrid w:val="0"/>
              <w:spacing w:line="540" w:lineRule="exact"/>
              <w:rPr>
                <w:rFonts w:hint="eastAsia" w:ascii="仿宋" w:hAnsi="仿宋" w:eastAsia="仿宋" w:cs="仿宋"/>
                <w:color w:val="auto"/>
                <w:sz w:val="22"/>
                <w:szCs w:val="22"/>
                <w:highlight w:val="none"/>
              </w:rPr>
            </w:pPr>
          </w:p>
        </w:tc>
      </w:tr>
      <w:tr w14:paraId="019E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FD16A4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7397E576">
            <w:pPr>
              <w:pStyle w:val="9"/>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3C4A5B5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3784F1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C370F69">
            <w:pPr>
              <w:snapToGrid w:val="0"/>
              <w:spacing w:line="540" w:lineRule="exact"/>
              <w:rPr>
                <w:rFonts w:hint="eastAsia" w:ascii="仿宋" w:hAnsi="仿宋" w:eastAsia="仿宋" w:cs="仿宋"/>
                <w:color w:val="auto"/>
                <w:sz w:val="22"/>
                <w:szCs w:val="22"/>
                <w:highlight w:val="none"/>
              </w:rPr>
            </w:pPr>
          </w:p>
        </w:tc>
      </w:tr>
      <w:tr w14:paraId="187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73FBA9">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3027786D">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4C8E80C8">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824645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0D192E">
            <w:pPr>
              <w:snapToGrid w:val="0"/>
              <w:spacing w:line="540" w:lineRule="exact"/>
              <w:rPr>
                <w:rFonts w:hint="eastAsia" w:ascii="仿宋" w:hAnsi="仿宋" w:eastAsia="仿宋" w:cs="仿宋"/>
                <w:color w:val="auto"/>
                <w:sz w:val="22"/>
                <w:szCs w:val="22"/>
                <w:highlight w:val="none"/>
              </w:rPr>
            </w:pPr>
          </w:p>
        </w:tc>
      </w:tr>
      <w:tr w14:paraId="61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35E91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7BC94234">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服务方案</w:t>
            </w:r>
          </w:p>
        </w:tc>
        <w:tc>
          <w:tcPr>
            <w:tcW w:w="1583" w:type="dxa"/>
            <w:vAlign w:val="center"/>
          </w:tcPr>
          <w:p w14:paraId="03061EB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FBC666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E811B34">
            <w:pPr>
              <w:snapToGrid w:val="0"/>
              <w:spacing w:line="540" w:lineRule="exact"/>
              <w:rPr>
                <w:rFonts w:hint="eastAsia" w:ascii="仿宋" w:hAnsi="仿宋" w:eastAsia="仿宋" w:cs="仿宋"/>
                <w:color w:val="auto"/>
                <w:sz w:val="22"/>
                <w:szCs w:val="22"/>
                <w:highlight w:val="none"/>
              </w:rPr>
            </w:pPr>
          </w:p>
        </w:tc>
      </w:tr>
      <w:tr w14:paraId="0E7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7737D7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3CC86017">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业务合同证明材料</w:t>
            </w:r>
          </w:p>
        </w:tc>
        <w:tc>
          <w:tcPr>
            <w:tcW w:w="1583" w:type="dxa"/>
            <w:vAlign w:val="center"/>
          </w:tcPr>
          <w:p w14:paraId="52217EB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99AF4B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46EE4C1">
            <w:pPr>
              <w:snapToGrid w:val="0"/>
              <w:spacing w:line="540" w:lineRule="exact"/>
              <w:rPr>
                <w:rFonts w:hint="eastAsia" w:ascii="仿宋" w:hAnsi="仿宋" w:eastAsia="仿宋" w:cs="仿宋"/>
                <w:color w:val="auto"/>
                <w:sz w:val="22"/>
                <w:szCs w:val="22"/>
                <w:highlight w:val="none"/>
              </w:rPr>
            </w:pPr>
          </w:p>
        </w:tc>
      </w:tr>
      <w:tr w14:paraId="4CA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7C4650">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70C4C7DA">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3518185E">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AE66CE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100A3FF">
            <w:pPr>
              <w:snapToGrid w:val="0"/>
              <w:spacing w:line="540" w:lineRule="exact"/>
              <w:rPr>
                <w:rFonts w:hint="eastAsia" w:ascii="仿宋" w:hAnsi="仿宋" w:eastAsia="仿宋" w:cs="仿宋"/>
                <w:color w:val="auto"/>
                <w:sz w:val="22"/>
                <w:szCs w:val="22"/>
                <w:highlight w:val="none"/>
              </w:rPr>
            </w:pPr>
          </w:p>
        </w:tc>
      </w:tr>
    </w:tbl>
    <w:p w14:paraId="469BED9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37214B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C59D59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B3239D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37FDC17">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64BC308">
      <w:pPr>
        <w:pStyle w:val="14"/>
        <w:rPr>
          <w:rFonts w:hint="eastAsia" w:ascii="仿宋" w:hAnsi="仿宋" w:eastAsia="仿宋" w:cs="仿宋"/>
          <w:color w:val="auto"/>
          <w:sz w:val="24"/>
          <w:szCs w:val="24"/>
        </w:rPr>
      </w:pPr>
    </w:p>
    <w:p w14:paraId="5D33D664">
      <w:pPr>
        <w:pStyle w:val="15"/>
        <w:rPr>
          <w:rFonts w:hint="eastAsia" w:ascii="仿宋" w:hAnsi="仿宋" w:eastAsia="仿宋" w:cs="仿宋"/>
          <w:color w:val="auto"/>
          <w:sz w:val="24"/>
          <w:szCs w:val="24"/>
        </w:rPr>
      </w:pPr>
    </w:p>
    <w:p w14:paraId="695002C0">
      <w:pPr>
        <w:rPr>
          <w:rFonts w:hint="eastAsia" w:ascii="仿宋" w:hAnsi="仿宋" w:eastAsia="仿宋" w:cs="仿宋"/>
          <w:color w:val="auto"/>
          <w:sz w:val="24"/>
          <w:szCs w:val="24"/>
        </w:rPr>
      </w:pPr>
    </w:p>
    <w:p w14:paraId="55A0D80C">
      <w:pPr>
        <w:pStyle w:val="14"/>
        <w:rPr>
          <w:rFonts w:hint="eastAsia" w:ascii="仿宋" w:hAnsi="仿宋" w:eastAsia="仿宋" w:cs="仿宋"/>
          <w:color w:val="auto"/>
          <w:sz w:val="24"/>
          <w:szCs w:val="24"/>
        </w:rPr>
      </w:pPr>
    </w:p>
    <w:p w14:paraId="0AABE06A">
      <w:pPr>
        <w:pStyle w:val="15"/>
        <w:rPr>
          <w:rFonts w:hint="eastAsia" w:ascii="仿宋" w:hAnsi="仿宋" w:eastAsia="仿宋" w:cs="仿宋"/>
          <w:color w:val="auto"/>
          <w:sz w:val="24"/>
          <w:szCs w:val="24"/>
        </w:rPr>
      </w:pPr>
    </w:p>
    <w:p w14:paraId="60D40CDF">
      <w:pPr>
        <w:pStyle w:val="12"/>
        <w:rPr>
          <w:rFonts w:hint="eastAsia" w:ascii="仿宋" w:hAnsi="仿宋" w:eastAsia="仿宋" w:cs="仿宋"/>
          <w:color w:val="auto"/>
          <w:sz w:val="24"/>
          <w:szCs w:val="24"/>
        </w:rPr>
      </w:pPr>
    </w:p>
    <w:p w14:paraId="1C59E586">
      <w:pPr>
        <w:pStyle w:val="12"/>
        <w:rPr>
          <w:rFonts w:hint="eastAsia" w:ascii="仿宋" w:hAnsi="仿宋" w:eastAsia="仿宋" w:cs="仿宋"/>
          <w:color w:val="auto"/>
          <w:sz w:val="24"/>
          <w:szCs w:val="24"/>
        </w:rPr>
      </w:pPr>
    </w:p>
    <w:p w14:paraId="08EE9325">
      <w:pPr>
        <w:pStyle w:val="12"/>
        <w:rPr>
          <w:rFonts w:hint="eastAsia" w:ascii="仿宋" w:hAnsi="仿宋" w:eastAsia="仿宋" w:cs="仿宋"/>
          <w:color w:val="auto"/>
          <w:sz w:val="24"/>
          <w:szCs w:val="24"/>
        </w:rPr>
      </w:pPr>
    </w:p>
    <w:p w14:paraId="72F998DA">
      <w:pPr>
        <w:pStyle w:val="12"/>
        <w:rPr>
          <w:rFonts w:hint="eastAsia" w:ascii="仿宋" w:hAnsi="仿宋" w:eastAsia="仿宋" w:cs="仿宋"/>
          <w:color w:val="auto"/>
          <w:sz w:val="24"/>
          <w:szCs w:val="24"/>
        </w:rPr>
      </w:pPr>
    </w:p>
    <w:p w14:paraId="5B753709">
      <w:pPr>
        <w:pStyle w:val="15"/>
        <w:rPr>
          <w:rFonts w:hint="eastAsia" w:ascii="仿宋" w:hAnsi="仿宋" w:eastAsia="仿宋" w:cs="仿宋"/>
          <w:color w:val="auto"/>
          <w:sz w:val="24"/>
          <w:szCs w:val="24"/>
        </w:rPr>
      </w:pPr>
    </w:p>
    <w:p w14:paraId="043719FD">
      <w:pPr>
        <w:pStyle w:val="12"/>
        <w:rPr>
          <w:rFonts w:hint="eastAsia"/>
          <w:color w:val="auto"/>
        </w:rPr>
      </w:pPr>
    </w:p>
    <w:p w14:paraId="025FB6C6">
      <w:pPr>
        <w:rPr>
          <w:rFonts w:hint="eastAsia" w:ascii="仿宋" w:hAnsi="仿宋" w:eastAsia="仿宋" w:cs="仿宋"/>
          <w:color w:val="auto"/>
          <w:sz w:val="24"/>
          <w:szCs w:val="24"/>
        </w:rPr>
      </w:pPr>
    </w:p>
    <w:p w14:paraId="064E6B69">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1F041582">
      <w:pPr>
        <w:pStyle w:val="9"/>
        <w:spacing w:line="360" w:lineRule="auto"/>
        <w:jc w:val="center"/>
        <w:rPr>
          <w:rFonts w:hint="eastAsia" w:ascii="仿宋" w:hAnsi="仿宋" w:eastAsia="仿宋" w:cs="仿宋"/>
          <w:b/>
          <w:snapToGrid w:val="0"/>
          <w:color w:val="auto"/>
          <w:kern w:val="0"/>
          <w:sz w:val="24"/>
          <w:szCs w:val="24"/>
        </w:rPr>
      </w:pPr>
    </w:p>
    <w:p w14:paraId="100DB145">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2DFBC113">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2D616EE2">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37A5428B">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7541B6C3">
      <w:pPr>
        <w:autoSpaceDE w:val="0"/>
        <w:autoSpaceDN w:val="0"/>
        <w:adjustRightInd w:val="0"/>
        <w:spacing w:line="480" w:lineRule="auto"/>
        <w:rPr>
          <w:rFonts w:hint="eastAsia" w:ascii="仿宋" w:hAnsi="仿宋" w:eastAsia="仿宋" w:cs="仿宋"/>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207F63AE">
      <w:pPr>
        <w:autoSpaceDE w:val="0"/>
        <w:autoSpaceDN w:val="0"/>
        <w:adjustRightInd w:val="0"/>
        <w:spacing w:line="360" w:lineRule="auto"/>
        <w:rPr>
          <w:rFonts w:hint="eastAsia" w:ascii="仿宋" w:hAnsi="仿宋" w:eastAsia="仿宋" w:cs="仿宋"/>
          <w:color w:val="auto"/>
          <w:sz w:val="24"/>
          <w:szCs w:val="24"/>
          <w:lang w:val="zh-CN"/>
        </w:rPr>
      </w:pPr>
    </w:p>
    <w:p w14:paraId="739BC4B4">
      <w:pPr>
        <w:pStyle w:val="3"/>
        <w:numPr>
          <w:ilvl w:val="1"/>
          <w:numId w:val="0"/>
        </w:numPr>
        <w:rPr>
          <w:rFonts w:hint="eastAsia"/>
          <w:color w:val="auto"/>
          <w:lang w:val="zh-CN"/>
        </w:rPr>
      </w:pPr>
    </w:p>
    <w:p w14:paraId="2344FC94">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6D242C3B">
      <w:pPr>
        <w:pStyle w:val="14"/>
        <w:rPr>
          <w:rFonts w:hint="eastAsia" w:ascii="仿宋" w:hAnsi="仿宋" w:eastAsia="仿宋" w:cs="仿宋"/>
          <w:color w:val="auto"/>
          <w:sz w:val="24"/>
          <w:szCs w:val="24"/>
          <w:lang w:val="zh-CN"/>
        </w:rPr>
      </w:pPr>
    </w:p>
    <w:p w14:paraId="1DAF9D12">
      <w:pPr>
        <w:spacing w:line="480" w:lineRule="exact"/>
        <w:jc w:val="center"/>
        <w:rPr>
          <w:rFonts w:hint="eastAsia" w:ascii="仿宋" w:hAnsi="仿宋" w:eastAsia="仿宋" w:cs="仿宋"/>
          <w:b/>
          <w:bCs/>
          <w:color w:val="auto"/>
          <w:sz w:val="24"/>
          <w:szCs w:val="24"/>
        </w:rPr>
      </w:pPr>
    </w:p>
    <w:p w14:paraId="701F40A7">
      <w:pPr>
        <w:pStyle w:val="9"/>
        <w:spacing w:line="360" w:lineRule="auto"/>
        <w:jc w:val="center"/>
        <w:rPr>
          <w:rFonts w:hint="eastAsia" w:ascii="仿宋" w:hAnsi="仿宋" w:eastAsia="仿宋" w:cs="仿宋"/>
          <w:b/>
          <w:snapToGrid w:val="0"/>
          <w:color w:val="auto"/>
          <w:kern w:val="0"/>
          <w:sz w:val="36"/>
          <w:szCs w:val="36"/>
          <w:lang w:eastAsia="zh-CN"/>
        </w:rPr>
      </w:pPr>
    </w:p>
    <w:p w14:paraId="074AE8DB">
      <w:pPr>
        <w:pStyle w:val="9"/>
        <w:spacing w:line="360" w:lineRule="auto"/>
        <w:jc w:val="center"/>
        <w:rPr>
          <w:rFonts w:hint="eastAsia" w:ascii="仿宋" w:hAnsi="仿宋" w:eastAsia="仿宋" w:cs="仿宋"/>
          <w:b/>
          <w:snapToGrid w:val="0"/>
          <w:color w:val="auto"/>
          <w:kern w:val="0"/>
          <w:sz w:val="36"/>
          <w:szCs w:val="36"/>
          <w:lang w:eastAsia="zh-CN"/>
        </w:rPr>
      </w:pPr>
    </w:p>
    <w:p w14:paraId="2A9DDA34">
      <w:pPr>
        <w:pStyle w:val="9"/>
        <w:spacing w:line="360" w:lineRule="auto"/>
        <w:jc w:val="center"/>
        <w:rPr>
          <w:rFonts w:hint="eastAsia" w:ascii="仿宋" w:hAnsi="仿宋" w:eastAsia="仿宋" w:cs="仿宋"/>
          <w:b/>
          <w:snapToGrid w:val="0"/>
          <w:color w:val="auto"/>
          <w:kern w:val="0"/>
          <w:sz w:val="36"/>
          <w:szCs w:val="36"/>
          <w:lang w:eastAsia="zh-CN"/>
        </w:rPr>
      </w:pPr>
    </w:p>
    <w:p w14:paraId="280B678D">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16891FEE">
      <w:pPr>
        <w:jc w:val="left"/>
        <w:rPr>
          <w:rFonts w:hint="eastAsia" w:ascii="仿宋" w:hAnsi="仿宋" w:eastAsia="仿宋" w:cs="仿宋"/>
          <w:b/>
          <w:bCs/>
          <w:color w:val="auto"/>
          <w:sz w:val="24"/>
          <w:szCs w:val="24"/>
        </w:rPr>
      </w:pPr>
    </w:p>
    <w:p w14:paraId="69D241B0">
      <w:pPr>
        <w:jc w:val="center"/>
        <w:rPr>
          <w:rFonts w:hint="eastAsia" w:ascii="仿宋" w:hAnsi="仿宋" w:eastAsia="仿宋" w:cs="仿宋"/>
          <w:b/>
          <w:bCs/>
          <w:color w:val="auto"/>
          <w:sz w:val="24"/>
          <w:szCs w:val="24"/>
          <w:lang w:val="en-US" w:eastAsia="zh-CN"/>
        </w:rPr>
      </w:pPr>
    </w:p>
    <w:p w14:paraId="0DBF64FA">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附营业执照等（或会计执业许可材料）</w:t>
      </w:r>
    </w:p>
    <w:p w14:paraId="3684FE48">
      <w:pPr>
        <w:jc w:val="left"/>
        <w:rPr>
          <w:rFonts w:hint="eastAsia" w:ascii="仿宋" w:hAnsi="仿宋" w:eastAsia="仿宋" w:cs="仿宋"/>
          <w:b/>
          <w:bCs/>
          <w:color w:val="auto"/>
          <w:sz w:val="32"/>
          <w:szCs w:val="32"/>
        </w:rPr>
      </w:pPr>
    </w:p>
    <w:p w14:paraId="08328B8E">
      <w:pPr>
        <w:jc w:val="left"/>
        <w:rPr>
          <w:rFonts w:hint="eastAsia" w:ascii="仿宋" w:hAnsi="仿宋" w:eastAsia="仿宋" w:cs="仿宋"/>
          <w:b/>
          <w:bCs/>
          <w:color w:val="auto"/>
          <w:sz w:val="32"/>
          <w:szCs w:val="32"/>
        </w:rPr>
      </w:pPr>
    </w:p>
    <w:p w14:paraId="27CE52D3">
      <w:pPr>
        <w:jc w:val="left"/>
        <w:rPr>
          <w:rFonts w:hint="eastAsia" w:ascii="仿宋" w:hAnsi="仿宋" w:eastAsia="仿宋" w:cs="仿宋"/>
          <w:b/>
          <w:bCs/>
          <w:color w:val="auto"/>
          <w:sz w:val="32"/>
          <w:szCs w:val="32"/>
        </w:rPr>
      </w:pPr>
    </w:p>
    <w:p w14:paraId="1AE88DA2">
      <w:pPr>
        <w:jc w:val="left"/>
        <w:rPr>
          <w:rFonts w:hint="eastAsia" w:ascii="仿宋" w:hAnsi="仿宋" w:eastAsia="仿宋" w:cs="仿宋"/>
          <w:b/>
          <w:bCs/>
          <w:color w:val="auto"/>
          <w:sz w:val="24"/>
          <w:szCs w:val="24"/>
        </w:rPr>
      </w:pPr>
    </w:p>
    <w:p w14:paraId="30E6E0AD">
      <w:pPr>
        <w:jc w:val="left"/>
        <w:rPr>
          <w:rFonts w:hint="eastAsia" w:ascii="仿宋" w:hAnsi="仿宋" w:eastAsia="仿宋" w:cs="仿宋"/>
          <w:b/>
          <w:bCs/>
          <w:color w:val="auto"/>
          <w:sz w:val="24"/>
          <w:szCs w:val="24"/>
        </w:rPr>
      </w:pPr>
    </w:p>
    <w:p w14:paraId="6443CA46">
      <w:pPr>
        <w:jc w:val="left"/>
        <w:rPr>
          <w:rFonts w:hint="eastAsia" w:ascii="仿宋" w:hAnsi="仿宋" w:eastAsia="仿宋" w:cs="仿宋"/>
          <w:b/>
          <w:bCs/>
          <w:color w:val="auto"/>
          <w:sz w:val="24"/>
          <w:szCs w:val="24"/>
        </w:rPr>
      </w:pPr>
    </w:p>
    <w:p w14:paraId="75280F43">
      <w:pPr>
        <w:jc w:val="left"/>
        <w:rPr>
          <w:rFonts w:hint="eastAsia" w:ascii="仿宋" w:hAnsi="仿宋" w:eastAsia="仿宋" w:cs="仿宋"/>
          <w:b/>
          <w:bCs/>
          <w:color w:val="auto"/>
          <w:sz w:val="24"/>
          <w:szCs w:val="24"/>
        </w:rPr>
      </w:pPr>
    </w:p>
    <w:p w14:paraId="4F28C02B">
      <w:pPr>
        <w:jc w:val="left"/>
        <w:rPr>
          <w:rFonts w:hint="eastAsia" w:ascii="仿宋" w:hAnsi="仿宋" w:eastAsia="仿宋" w:cs="仿宋"/>
          <w:b/>
          <w:bCs/>
          <w:color w:val="auto"/>
          <w:sz w:val="24"/>
          <w:szCs w:val="24"/>
        </w:rPr>
      </w:pPr>
    </w:p>
    <w:p w14:paraId="7FB5CF70">
      <w:pPr>
        <w:jc w:val="left"/>
        <w:rPr>
          <w:rFonts w:hint="eastAsia" w:ascii="仿宋" w:hAnsi="仿宋" w:eastAsia="仿宋" w:cs="仿宋"/>
          <w:b/>
          <w:bCs/>
          <w:color w:val="auto"/>
          <w:sz w:val="24"/>
          <w:szCs w:val="24"/>
        </w:rPr>
      </w:pPr>
    </w:p>
    <w:p w14:paraId="3C11FC01">
      <w:pPr>
        <w:jc w:val="left"/>
        <w:rPr>
          <w:rFonts w:hint="eastAsia" w:ascii="仿宋" w:hAnsi="仿宋" w:eastAsia="仿宋" w:cs="仿宋"/>
          <w:b/>
          <w:bCs/>
          <w:color w:val="auto"/>
          <w:sz w:val="24"/>
          <w:szCs w:val="24"/>
        </w:rPr>
      </w:pPr>
    </w:p>
    <w:p w14:paraId="1B196A1C">
      <w:pPr>
        <w:jc w:val="left"/>
        <w:rPr>
          <w:rFonts w:hint="eastAsia" w:ascii="仿宋" w:hAnsi="仿宋" w:eastAsia="仿宋" w:cs="仿宋"/>
          <w:b/>
          <w:bCs/>
          <w:color w:val="auto"/>
          <w:sz w:val="24"/>
          <w:szCs w:val="24"/>
        </w:rPr>
      </w:pPr>
    </w:p>
    <w:p w14:paraId="36F08B3A">
      <w:pPr>
        <w:jc w:val="left"/>
        <w:rPr>
          <w:rFonts w:hint="eastAsia" w:ascii="仿宋" w:hAnsi="仿宋" w:eastAsia="仿宋" w:cs="仿宋"/>
          <w:b/>
          <w:bCs/>
          <w:color w:val="auto"/>
          <w:sz w:val="24"/>
          <w:szCs w:val="24"/>
        </w:rPr>
      </w:pPr>
    </w:p>
    <w:p w14:paraId="40F4A09F">
      <w:pPr>
        <w:jc w:val="left"/>
        <w:rPr>
          <w:rFonts w:hint="eastAsia" w:ascii="仿宋" w:hAnsi="仿宋" w:eastAsia="仿宋" w:cs="仿宋"/>
          <w:b/>
          <w:bCs/>
          <w:color w:val="auto"/>
          <w:sz w:val="24"/>
          <w:szCs w:val="24"/>
        </w:rPr>
      </w:pPr>
    </w:p>
    <w:p w14:paraId="08AB637F">
      <w:pPr>
        <w:jc w:val="left"/>
        <w:rPr>
          <w:rFonts w:hint="eastAsia" w:ascii="仿宋" w:hAnsi="仿宋" w:eastAsia="仿宋" w:cs="仿宋"/>
          <w:b/>
          <w:bCs/>
          <w:color w:val="auto"/>
          <w:sz w:val="24"/>
          <w:szCs w:val="24"/>
        </w:rPr>
      </w:pPr>
    </w:p>
    <w:p w14:paraId="3FBAF7A8">
      <w:pPr>
        <w:jc w:val="left"/>
        <w:rPr>
          <w:rFonts w:hint="eastAsia" w:ascii="仿宋" w:hAnsi="仿宋" w:eastAsia="仿宋" w:cs="仿宋"/>
          <w:b/>
          <w:bCs/>
          <w:color w:val="auto"/>
          <w:sz w:val="24"/>
          <w:szCs w:val="24"/>
        </w:rPr>
      </w:pPr>
    </w:p>
    <w:p w14:paraId="29E54A6C">
      <w:pPr>
        <w:jc w:val="left"/>
        <w:rPr>
          <w:rFonts w:hint="eastAsia" w:ascii="仿宋" w:hAnsi="仿宋" w:eastAsia="仿宋" w:cs="仿宋"/>
          <w:b/>
          <w:bCs/>
          <w:color w:val="auto"/>
          <w:sz w:val="24"/>
          <w:szCs w:val="24"/>
        </w:rPr>
      </w:pPr>
    </w:p>
    <w:p w14:paraId="0BE2F0A6">
      <w:pPr>
        <w:jc w:val="left"/>
        <w:rPr>
          <w:rFonts w:hint="eastAsia" w:ascii="仿宋" w:hAnsi="仿宋" w:eastAsia="仿宋" w:cs="仿宋"/>
          <w:b/>
          <w:bCs/>
          <w:color w:val="auto"/>
          <w:sz w:val="24"/>
          <w:szCs w:val="24"/>
        </w:rPr>
      </w:pPr>
    </w:p>
    <w:p w14:paraId="1BC4CAA7">
      <w:pPr>
        <w:jc w:val="left"/>
        <w:rPr>
          <w:rFonts w:hint="eastAsia" w:ascii="仿宋" w:hAnsi="仿宋" w:eastAsia="仿宋" w:cs="仿宋"/>
          <w:b/>
          <w:bCs/>
          <w:color w:val="auto"/>
          <w:sz w:val="24"/>
          <w:szCs w:val="24"/>
        </w:rPr>
      </w:pPr>
    </w:p>
    <w:p w14:paraId="49DC3644">
      <w:pPr>
        <w:jc w:val="left"/>
        <w:rPr>
          <w:rFonts w:hint="eastAsia" w:ascii="仿宋" w:hAnsi="仿宋" w:eastAsia="仿宋" w:cs="仿宋"/>
          <w:b/>
          <w:bCs/>
          <w:color w:val="auto"/>
          <w:sz w:val="24"/>
          <w:szCs w:val="24"/>
        </w:rPr>
      </w:pPr>
    </w:p>
    <w:p w14:paraId="64DC4F60">
      <w:pPr>
        <w:jc w:val="left"/>
        <w:rPr>
          <w:rFonts w:hint="eastAsia" w:ascii="仿宋" w:hAnsi="仿宋" w:eastAsia="仿宋" w:cs="仿宋"/>
          <w:b/>
          <w:bCs/>
          <w:color w:val="auto"/>
          <w:sz w:val="24"/>
          <w:szCs w:val="24"/>
        </w:rPr>
      </w:pPr>
    </w:p>
    <w:p w14:paraId="144C71B2">
      <w:pPr>
        <w:jc w:val="left"/>
        <w:rPr>
          <w:rFonts w:hint="eastAsia" w:ascii="仿宋" w:hAnsi="仿宋" w:eastAsia="仿宋" w:cs="仿宋"/>
          <w:b/>
          <w:bCs/>
          <w:color w:val="auto"/>
          <w:sz w:val="24"/>
          <w:szCs w:val="24"/>
        </w:rPr>
      </w:pPr>
    </w:p>
    <w:p w14:paraId="4FD24FC3">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40F80064">
      <w:pPr>
        <w:autoSpaceDE w:val="0"/>
        <w:autoSpaceDN w:val="0"/>
        <w:adjustRightInd w:val="0"/>
        <w:spacing w:line="360" w:lineRule="auto"/>
        <w:jc w:val="center"/>
        <w:rPr>
          <w:rFonts w:hint="eastAsia" w:ascii="仿宋" w:hAnsi="仿宋" w:eastAsia="仿宋" w:cs="仿宋"/>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致许昌市建设投资有限责任公司： </w:t>
      </w:r>
    </w:p>
    <w:p w14:paraId="343456E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6D7B60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52511B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31AB348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15A7368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02A98D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财务评价咨询服务认证法规，依法诚信经营，无条件遵守本次比选活动的各项规定，我单位（本人）郑重承诺，我单位符合《中华人民共和国政府采购法》第二十二条规定和招标文件、本承诺书的条件： </w:t>
      </w:r>
    </w:p>
    <w:p w14:paraId="29F553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39D512B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6BD3A0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56257B25">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（四）符合财务评价咨询服务资格、行政法规规定的其他条件。</w:t>
      </w:r>
    </w:p>
    <w:p w14:paraId="3473E21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在两年内禁止参加许昌市城投发展集团有限公司及子公司的所有招标（比选）活动</w:t>
      </w:r>
      <w:r>
        <w:rPr>
          <w:rFonts w:hint="eastAsia" w:ascii="仿宋" w:hAnsi="仿宋" w:eastAsia="仿宋" w:cs="仿宋"/>
          <w:color w:val="auto"/>
          <w:kern w:val="0"/>
          <w:sz w:val="28"/>
          <w:szCs w:val="28"/>
          <w:lang w:val="en-US" w:eastAsia="zh-CN" w:bidi="ar"/>
        </w:rPr>
        <w:t xml:space="preserve">。 </w:t>
      </w:r>
    </w:p>
    <w:p w14:paraId="36B4C034">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kern w:val="0"/>
          <w:sz w:val="28"/>
          <w:szCs w:val="28"/>
          <w:lang w:val="en-US" w:eastAsia="zh-CN" w:bidi="ar"/>
        </w:rPr>
      </w:pPr>
    </w:p>
    <w:p w14:paraId="26C81E8C">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14:paraId="4D753C4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14:paraId="1E5AA0E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0AC786E4">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3140C96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7E7FBF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9E72E">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01BF5D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8A8D3D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642B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3D57D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24A81E5">
      <w:pPr>
        <w:rPr>
          <w:rFonts w:hint="eastAsia" w:ascii="仿宋" w:hAnsi="仿宋" w:eastAsia="仿宋" w:cs="仿宋"/>
          <w:color w:val="auto"/>
          <w:lang w:val="zh-CN"/>
        </w:rPr>
      </w:pPr>
    </w:p>
    <w:p w14:paraId="55D0DF7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5FCA50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A70B20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0E07C08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廉洁</w:t>
      </w:r>
      <w:r>
        <w:rPr>
          <w:rFonts w:hint="eastAsia" w:ascii="仿宋_GB2312" w:hAnsi="仿宋_GB2312" w:eastAsia="仿宋_GB2312" w:cs="仿宋_GB2312"/>
          <w:b/>
          <w:bCs/>
          <w:sz w:val="32"/>
          <w:szCs w:val="32"/>
          <w:lang w:val="en-US" w:eastAsia="zh-CN"/>
        </w:rPr>
        <w:t>自</w:t>
      </w:r>
      <w:r>
        <w:rPr>
          <w:rFonts w:hint="eastAsia" w:ascii="仿宋_GB2312" w:hAnsi="仿宋_GB2312" w:eastAsia="仿宋_GB2312" w:cs="仿宋_GB2312"/>
          <w:b/>
          <w:bCs/>
          <w:sz w:val="32"/>
          <w:szCs w:val="32"/>
        </w:rPr>
        <w:t>律承诺书</w:t>
      </w:r>
    </w:p>
    <w:p w14:paraId="6EB2D576">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ECF9FF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致许昌市建设投资有限责任公司:</w:t>
      </w:r>
    </w:p>
    <w:p w14:paraId="3E9C4AA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57C1F6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1.严格遵守国家及地方关于招投标、市场竞争的相关法律法规，不使用不正当手段妨碍、排挤相关投标单位或串通投标。</w:t>
      </w:r>
    </w:p>
    <w:p w14:paraId="074B346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9C6B9A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3.不进行任何可能影响招标公平、公正的活动或尝试干预评标过程。</w:t>
      </w:r>
    </w:p>
    <w:p w14:paraId="738B05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39E3818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特此承诺。</w:t>
      </w:r>
    </w:p>
    <w:p w14:paraId="7C1676CC">
      <w:pPr>
        <w:ind w:firstLine="6400" w:firstLineChars="2000"/>
        <w:rPr>
          <w:rFonts w:hint="eastAsia" w:ascii="仿宋_GB2312" w:hAnsi="仿宋_GB2312" w:eastAsia="仿宋_GB2312" w:cs="仿宋_GB2312"/>
          <w:sz w:val="32"/>
          <w:szCs w:val="32"/>
        </w:rPr>
      </w:pPr>
    </w:p>
    <w:p w14:paraId="6C542E28">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单位名称（盖章）</w:t>
      </w:r>
    </w:p>
    <w:p w14:paraId="43875891">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2FA4C33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4F9C22B8">
      <w:pPr>
        <w:autoSpaceDE w:val="0"/>
        <w:autoSpaceDN w:val="0"/>
        <w:adjustRightInd w:val="0"/>
        <w:spacing w:line="360" w:lineRule="auto"/>
        <w:jc w:val="both"/>
        <w:rPr>
          <w:rFonts w:hint="eastAsia" w:ascii="仿宋" w:hAnsi="仿宋" w:eastAsia="仿宋" w:cs="仿宋"/>
          <w:b/>
          <w:bCs/>
          <w:color w:val="auto"/>
          <w:sz w:val="28"/>
          <w:szCs w:val="28"/>
          <w:highlight w:val="none"/>
          <w:lang w:val="zh-CN"/>
        </w:rPr>
      </w:pPr>
    </w:p>
    <w:p w14:paraId="22CFCDFC">
      <w:pPr>
        <w:pStyle w:val="9"/>
        <w:spacing w:line="360" w:lineRule="auto"/>
        <w:jc w:val="both"/>
        <w:rPr>
          <w:rFonts w:hint="eastAsia" w:ascii="仿宋" w:hAnsi="仿宋" w:eastAsia="仿宋" w:cs="仿宋"/>
          <w:b/>
          <w:bCs/>
          <w:color w:val="auto"/>
          <w:sz w:val="28"/>
          <w:szCs w:val="28"/>
          <w:highlight w:val="none"/>
          <w:lang w:val="en-US" w:eastAsia="zh-CN"/>
        </w:rPr>
      </w:pPr>
    </w:p>
    <w:p w14:paraId="11654CB6">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012DB092">
      <w:pPr>
        <w:pStyle w:val="9"/>
        <w:spacing w:line="360" w:lineRule="auto"/>
        <w:jc w:val="center"/>
        <w:rPr>
          <w:rFonts w:hint="eastAsia" w:ascii="仿宋" w:hAnsi="仿宋" w:eastAsia="仿宋" w:cs="仿宋"/>
          <w:b/>
          <w:bCs/>
          <w:color w:val="auto"/>
          <w:sz w:val="28"/>
          <w:szCs w:val="28"/>
          <w:highlight w:val="none"/>
          <w:lang w:val="en-US" w:eastAsia="zh-CN"/>
        </w:rPr>
      </w:pPr>
    </w:p>
    <w:p w14:paraId="2D5A153B">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04F0C986">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财务评价服务</w:t>
      </w:r>
      <w:r>
        <w:rPr>
          <w:rFonts w:hint="eastAsia" w:ascii="仿宋" w:hAnsi="仿宋" w:eastAsia="仿宋" w:cs="仿宋"/>
          <w:b/>
          <w:bCs/>
          <w:color w:val="auto"/>
          <w:sz w:val="28"/>
          <w:szCs w:val="28"/>
          <w:highlight w:val="none"/>
          <w:lang w:val="zh-CN"/>
        </w:rPr>
        <w:t>从业资格证明文件）</w:t>
      </w:r>
    </w:p>
    <w:p w14:paraId="3FA2751E">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5C55145">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19943796">
      <w:pPr>
        <w:pStyle w:val="9"/>
        <w:spacing w:line="360" w:lineRule="auto"/>
        <w:jc w:val="center"/>
        <w:rPr>
          <w:rFonts w:hint="eastAsia" w:ascii="仿宋" w:hAnsi="仿宋" w:eastAsia="仿宋" w:cs="仿宋"/>
          <w:b/>
          <w:bCs/>
          <w:color w:val="auto"/>
          <w:sz w:val="28"/>
          <w:szCs w:val="28"/>
          <w:highlight w:val="none"/>
        </w:rPr>
      </w:pPr>
    </w:p>
    <w:p w14:paraId="4E52068B">
      <w:pPr>
        <w:pStyle w:val="9"/>
        <w:spacing w:line="360" w:lineRule="auto"/>
        <w:jc w:val="center"/>
        <w:rPr>
          <w:rFonts w:hint="eastAsia" w:ascii="仿宋" w:hAnsi="仿宋" w:eastAsia="仿宋" w:cs="仿宋"/>
          <w:b/>
          <w:bCs/>
          <w:color w:val="auto"/>
          <w:sz w:val="28"/>
          <w:szCs w:val="28"/>
          <w:highlight w:val="none"/>
        </w:rPr>
      </w:pPr>
    </w:p>
    <w:p w14:paraId="3643D852">
      <w:pPr>
        <w:pStyle w:val="9"/>
        <w:spacing w:line="360" w:lineRule="auto"/>
        <w:jc w:val="center"/>
        <w:rPr>
          <w:rFonts w:hint="eastAsia" w:ascii="仿宋" w:hAnsi="仿宋" w:eastAsia="仿宋" w:cs="仿宋"/>
          <w:b/>
          <w:bCs/>
          <w:color w:val="auto"/>
          <w:sz w:val="28"/>
          <w:szCs w:val="28"/>
          <w:highlight w:val="none"/>
        </w:rPr>
      </w:pPr>
    </w:p>
    <w:p w14:paraId="1F88FCD0">
      <w:pPr>
        <w:rPr>
          <w:rFonts w:hint="eastAsia" w:ascii="仿宋" w:hAnsi="仿宋" w:eastAsia="仿宋" w:cs="仿宋"/>
          <w:color w:val="auto"/>
          <w:sz w:val="20"/>
          <w:szCs w:val="18"/>
          <w:highlight w:val="none"/>
        </w:rPr>
      </w:pPr>
    </w:p>
    <w:p w14:paraId="5975CB2A">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5.2服务方案</w:t>
      </w:r>
    </w:p>
    <w:p w14:paraId="56253435">
      <w:pPr>
        <w:pStyle w:val="9"/>
        <w:spacing w:line="360" w:lineRule="auto"/>
        <w:jc w:val="center"/>
        <w:rPr>
          <w:rFonts w:hint="eastAsia" w:ascii="仿宋" w:hAnsi="仿宋" w:eastAsia="仿宋" w:cs="仿宋"/>
          <w:b/>
          <w:bCs/>
          <w:color w:val="auto"/>
          <w:sz w:val="28"/>
          <w:szCs w:val="28"/>
          <w:highlight w:val="none"/>
        </w:rPr>
      </w:pPr>
    </w:p>
    <w:p w14:paraId="69305B96">
      <w:pPr>
        <w:pStyle w:val="9"/>
        <w:spacing w:line="360" w:lineRule="auto"/>
        <w:jc w:val="both"/>
        <w:rPr>
          <w:rFonts w:hint="eastAsia" w:ascii="仿宋" w:hAnsi="仿宋" w:eastAsia="仿宋" w:cs="仿宋"/>
          <w:b/>
          <w:bCs/>
          <w:color w:val="auto"/>
          <w:sz w:val="28"/>
          <w:szCs w:val="28"/>
          <w:highlight w:val="none"/>
        </w:rPr>
      </w:pPr>
    </w:p>
    <w:p w14:paraId="0D2A0D55">
      <w:pPr>
        <w:pStyle w:val="9"/>
        <w:spacing w:line="360" w:lineRule="auto"/>
        <w:jc w:val="both"/>
        <w:rPr>
          <w:rFonts w:hint="eastAsia" w:ascii="仿宋" w:hAnsi="仿宋" w:eastAsia="仿宋" w:cs="仿宋"/>
          <w:b/>
          <w:bCs/>
          <w:color w:val="auto"/>
          <w:sz w:val="28"/>
          <w:szCs w:val="28"/>
          <w:highlight w:val="none"/>
        </w:rPr>
      </w:pPr>
    </w:p>
    <w:p w14:paraId="5F0A48E6">
      <w:pPr>
        <w:pStyle w:val="9"/>
        <w:spacing w:line="360" w:lineRule="auto"/>
        <w:jc w:val="both"/>
        <w:rPr>
          <w:rFonts w:hint="eastAsia" w:ascii="仿宋" w:hAnsi="仿宋" w:eastAsia="仿宋" w:cs="仿宋"/>
          <w:b/>
          <w:bCs/>
          <w:color w:val="auto"/>
          <w:sz w:val="28"/>
          <w:szCs w:val="28"/>
          <w:highlight w:val="none"/>
        </w:rPr>
      </w:pPr>
    </w:p>
    <w:p w14:paraId="49311E66">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5.3服务证明材料</w:t>
      </w:r>
    </w:p>
    <w:p w14:paraId="7F1AC204">
      <w:pPr>
        <w:pStyle w:val="9"/>
        <w:spacing w:line="360" w:lineRule="auto"/>
        <w:jc w:val="center"/>
        <w:rPr>
          <w:rFonts w:hint="eastAsia" w:ascii="仿宋" w:hAnsi="仿宋" w:eastAsia="仿宋" w:cs="仿宋"/>
          <w:b/>
          <w:bCs/>
          <w:color w:val="auto"/>
          <w:sz w:val="28"/>
          <w:szCs w:val="28"/>
          <w:highlight w:val="none"/>
          <w:lang w:val="zh-CN"/>
        </w:rPr>
      </w:pPr>
    </w:p>
    <w:p w14:paraId="4801EEFC">
      <w:pPr>
        <w:pStyle w:val="9"/>
        <w:spacing w:line="360" w:lineRule="auto"/>
        <w:jc w:val="center"/>
        <w:rPr>
          <w:rFonts w:hint="eastAsia" w:ascii="仿宋" w:hAnsi="仿宋" w:eastAsia="仿宋" w:cs="仿宋"/>
          <w:b/>
          <w:bCs/>
          <w:color w:val="auto"/>
          <w:sz w:val="28"/>
          <w:szCs w:val="28"/>
          <w:highlight w:val="none"/>
          <w:lang w:val="zh-CN"/>
        </w:rPr>
      </w:pPr>
    </w:p>
    <w:p w14:paraId="2A050999">
      <w:pPr>
        <w:pStyle w:val="9"/>
        <w:spacing w:line="360" w:lineRule="auto"/>
        <w:jc w:val="center"/>
        <w:rPr>
          <w:rFonts w:hint="eastAsia" w:ascii="仿宋" w:hAnsi="仿宋" w:eastAsia="仿宋" w:cs="仿宋"/>
          <w:b/>
          <w:bCs/>
          <w:color w:val="auto"/>
          <w:sz w:val="28"/>
          <w:szCs w:val="28"/>
          <w:highlight w:val="none"/>
          <w:lang w:val="zh-CN"/>
        </w:rPr>
      </w:pPr>
    </w:p>
    <w:p w14:paraId="545428EA">
      <w:pPr>
        <w:pStyle w:val="9"/>
        <w:spacing w:line="360" w:lineRule="auto"/>
        <w:jc w:val="center"/>
        <w:rPr>
          <w:rFonts w:hint="eastAsia" w:ascii="仿宋" w:hAnsi="仿宋" w:eastAsia="仿宋" w:cs="仿宋"/>
          <w:b/>
          <w:bCs/>
          <w:color w:val="auto"/>
          <w:sz w:val="28"/>
          <w:szCs w:val="28"/>
          <w:highlight w:val="none"/>
          <w:lang w:val="zh-CN"/>
        </w:rPr>
      </w:pPr>
    </w:p>
    <w:p w14:paraId="37FEE5F6">
      <w:pPr>
        <w:pStyle w:val="9"/>
        <w:spacing w:line="360" w:lineRule="auto"/>
        <w:jc w:val="center"/>
        <w:rPr>
          <w:rFonts w:hint="eastAsia" w:ascii="仿宋" w:hAnsi="仿宋" w:eastAsia="仿宋" w:cs="仿宋"/>
          <w:b/>
          <w:bCs/>
          <w:color w:val="auto"/>
          <w:sz w:val="28"/>
          <w:szCs w:val="28"/>
          <w:highlight w:val="none"/>
          <w:lang w:val="en-US" w:eastAsia="zh-CN"/>
        </w:rPr>
      </w:pPr>
    </w:p>
    <w:p w14:paraId="306D9F1B">
      <w:pPr>
        <w:pStyle w:val="9"/>
        <w:spacing w:line="360" w:lineRule="auto"/>
        <w:jc w:val="center"/>
        <w:rPr>
          <w:rFonts w:hint="eastAsia" w:ascii="仿宋" w:hAnsi="仿宋" w:eastAsia="仿宋" w:cs="仿宋"/>
          <w:b/>
          <w:bCs/>
          <w:color w:val="auto"/>
          <w:sz w:val="28"/>
          <w:szCs w:val="28"/>
          <w:highlight w:val="none"/>
          <w:lang w:val="en-US" w:eastAsia="zh-CN"/>
        </w:rPr>
      </w:pPr>
    </w:p>
    <w:p w14:paraId="5BA00D9B">
      <w:pPr>
        <w:pStyle w:val="9"/>
        <w:spacing w:line="360" w:lineRule="auto"/>
        <w:jc w:val="center"/>
        <w:rPr>
          <w:rFonts w:hint="eastAsia" w:ascii="仿宋" w:hAnsi="仿宋" w:eastAsia="仿宋" w:cs="仿宋"/>
          <w:b/>
          <w:bCs/>
          <w:color w:val="auto"/>
          <w:sz w:val="28"/>
          <w:szCs w:val="28"/>
          <w:highlight w:val="none"/>
          <w:lang w:val="en-US" w:eastAsia="zh-CN"/>
        </w:rPr>
      </w:pPr>
    </w:p>
    <w:p w14:paraId="6B9F36A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5FC760ED">
      <w:pPr>
        <w:pStyle w:val="9"/>
        <w:spacing w:line="360" w:lineRule="auto"/>
        <w:jc w:val="center"/>
        <w:rPr>
          <w:rFonts w:hint="eastAsia" w:ascii="仿宋" w:hAnsi="仿宋" w:eastAsia="仿宋" w:cs="仿宋"/>
          <w:b/>
          <w:bCs/>
          <w:color w:val="auto"/>
          <w:sz w:val="28"/>
          <w:szCs w:val="28"/>
          <w:highlight w:val="none"/>
        </w:rPr>
      </w:pPr>
    </w:p>
    <w:p w14:paraId="6FCF5EFB">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403A11BA">
      <w:pPr>
        <w:rPr>
          <w:rFonts w:hint="eastAsia" w:ascii="仿宋" w:hAnsi="仿宋" w:eastAsia="仿宋" w:cs="仿宋"/>
          <w:color w:val="auto"/>
          <w:sz w:val="20"/>
          <w:szCs w:val="18"/>
          <w:highlight w:val="none"/>
        </w:rPr>
      </w:pPr>
    </w:p>
    <w:p w14:paraId="23506C36">
      <w:pPr>
        <w:rPr>
          <w:rFonts w:hint="eastAsia" w:ascii="仿宋" w:hAnsi="仿宋" w:eastAsia="仿宋" w:cs="仿宋"/>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1E12092F">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w:t>
      </w:r>
      <w:r>
        <w:rPr>
          <w:rFonts w:hint="eastAsia" w:ascii="仿宋" w:hAnsi="仿宋" w:eastAsia="仿宋" w:cs="仿宋"/>
          <w:b/>
          <w:strike w:val="0"/>
          <w:dstrike w:val="0"/>
          <w:color w:val="auto"/>
          <w:sz w:val="36"/>
          <w:szCs w:val="36"/>
          <w:shd w:val="clear" w:color="060000" w:fill="auto"/>
          <w:lang w:val="en-US" w:eastAsia="zh-CN"/>
        </w:rPr>
        <w:t>封面需显示比选项目名称</w:t>
      </w:r>
      <w:r>
        <w:rPr>
          <w:rFonts w:hint="eastAsia" w:ascii="仿宋" w:hAnsi="仿宋" w:eastAsia="仿宋" w:cs="仿宋"/>
          <w:b/>
          <w:strike w:val="0"/>
          <w:dstrike w:val="0"/>
          <w:color w:val="auto"/>
          <w:sz w:val="36"/>
          <w:szCs w:val="36"/>
          <w:shd w:val="clear" w:color="060000" w:fill="auto"/>
          <w:lang w:eastAsia="zh-CN"/>
        </w:rPr>
        <w:t>。申请人应严格按照上述密封要求准备和提交投标文件，以确保投标文件的完整性、真实性和保密性。任何不符合密封要求的投标文件，采购人有权拒绝接收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076D876D-4A3E-42CD-AC86-B634F8C0CE52}"/>
  </w:font>
  <w:font w:name="仿宋">
    <w:panose1 w:val="02010609060101010101"/>
    <w:charset w:val="86"/>
    <w:family w:val="auto"/>
    <w:pitch w:val="default"/>
    <w:sig w:usb0="800002BF" w:usb1="38CF7CFA" w:usb2="00000016" w:usb3="00000000" w:csb0="00040001" w:csb1="00000000"/>
    <w:embedRegular r:id="rId2" w:fontKey="{9512C370-33D8-4877-B514-4BF7D07A637A}"/>
  </w:font>
  <w:font w:name="仿宋_GB2312">
    <w:panose1 w:val="02010609030101010101"/>
    <w:charset w:val="86"/>
    <w:family w:val="auto"/>
    <w:pitch w:val="default"/>
    <w:sig w:usb0="00000001" w:usb1="080E0000" w:usb2="00000000" w:usb3="00000000" w:csb0="00040000" w:csb1="00000000"/>
    <w:embedRegular r:id="rId3" w:fontKey="{0005384F-8291-4866-A1D1-7031DB377A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ZGJiOGY5YzdkYjg1Yzc1NDU0MmE0ZDM5YjJhNzEifQ=="/>
  </w:docVars>
  <w:rsids>
    <w:rsidRoot w:val="00000000"/>
    <w:rsid w:val="00092509"/>
    <w:rsid w:val="001A2968"/>
    <w:rsid w:val="0069744B"/>
    <w:rsid w:val="00740401"/>
    <w:rsid w:val="00E15234"/>
    <w:rsid w:val="00E97C2E"/>
    <w:rsid w:val="00F00C3A"/>
    <w:rsid w:val="01D159CE"/>
    <w:rsid w:val="01E51E07"/>
    <w:rsid w:val="01F94D3E"/>
    <w:rsid w:val="02251150"/>
    <w:rsid w:val="02A80913"/>
    <w:rsid w:val="02BF77F6"/>
    <w:rsid w:val="02FC45A7"/>
    <w:rsid w:val="03B505D2"/>
    <w:rsid w:val="04021749"/>
    <w:rsid w:val="04566B35"/>
    <w:rsid w:val="046A44ED"/>
    <w:rsid w:val="052F52F4"/>
    <w:rsid w:val="057869E1"/>
    <w:rsid w:val="059D30B6"/>
    <w:rsid w:val="060A0D89"/>
    <w:rsid w:val="06104A21"/>
    <w:rsid w:val="066A1827"/>
    <w:rsid w:val="06F15AA5"/>
    <w:rsid w:val="06F930B6"/>
    <w:rsid w:val="06FA06BD"/>
    <w:rsid w:val="085A5FF7"/>
    <w:rsid w:val="088F4B90"/>
    <w:rsid w:val="08A55595"/>
    <w:rsid w:val="09413E70"/>
    <w:rsid w:val="0949606C"/>
    <w:rsid w:val="095664BF"/>
    <w:rsid w:val="09DE0417"/>
    <w:rsid w:val="0A454A85"/>
    <w:rsid w:val="0B5940BE"/>
    <w:rsid w:val="0C1A784C"/>
    <w:rsid w:val="0C3A33FD"/>
    <w:rsid w:val="0D5D5C42"/>
    <w:rsid w:val="0E6757EE"/>
    <w:rsid w:val="0EA06CB7"/>
    <w:rsid w:val="0F004A9B"/>
    <w:rsid w:val="0F27553F"/>
    <w:rsid w:val="0F791428"/>
    <w:rsid w:val="1034136D"/>
    <w:rsid w:val="106B4B1A"/>
    <w:rsid w:val="110E640B"/>
    <w:rsid w:val="11F823DD"/>
    <w:rsid w:val="12B5207C"/>
    <w:rsid w:val="12BC340B"/>
    <w:rsid w:val="130176FD"/>
    <w:rsid w:val="1360023A"/>
    <w:rsid w:val="13855EF2"/>
    <w:rsid w:val="13B90CB9"/>
    <w:rsid w:val="13E41C63"/>
    <w:rsid w:val="13E946D3"/>
    <w:rsid w:val="144917C3"/>
    <w:rsid w:val="14BC1DE8"/>
    <w:rsid w:val="14D507B4"/>
    <w:rsid w:val="154020D1"/>
    <w:rsid w:val="15716122"/>
    <w:rsid w:val="1582093B"/>
    <w:rsid w:val="159633AE"/>
    <w:rsid w:val="15AB5A56"/>
    <w:rsid w:val="162E2871"/>
    <w:rsid w:val="166060ED"/>
    <w:rsid w:val="17175B61"/>
    <w:rsid w:val="1767603B"/>
    <w:rsid w:val="180A079D"/>
    <w:rsid w:val="18243F2C"/>
    <w:rsid w:val="18603991"/>
    <w:rsid w:val="18691943"/>
    <w:rsid w:val="18A8690B"/>
    <w:rsid w:val="18BF3C55"/>
    <w:rsid w:val="19BF6E53"/>
    <w:rsid w:val="19D84FCE"/>
    <w:rsid w:val="19D918FD"/>
    <w:rsid w:val="1A1139B6"/>
    <w:rsid w:val="1A28051C"/>
    <w:rsid w:val="1B161797"/>
    <w:rsid w:val="1C7272F1"/>
    <w:rsid w:val="1DB403BB"/>
    <w:rsid w:val="1DC67833"/>
    <w:rsid w:val="1E9A41EF"/>
    <w:rsid w:val="1EB84FB4"/>
    <w:rsid w:val="1ED90DA1"/>
    <w:rsid w:val="20E81880"/>
    <w:rsid w:val="20FC3C98"/>
    <w:rsid w:val="21924E50"/>
    <w:rsid w:val="22130EA0"/>
    <w:rsid w:val="236D2C2B"/>
    <w:rsid w:val="23911ECE"/>
    <w:rsid w:val="23F8720B"/>
    <w:rsid w:val="24E56118"/>
    <w:rsid w:val="25203CCD"/>
    <w:rsid w:val="25846482"/>
    <w:rsid w:val="259020DD"/>
    <w:rsid w:val="25EB1F94"/>
    <w:rsid w:val="25FA2162"/>
    <w:rsid w:val="27003BFA"/>
    <w:rsid w:val="274A3283"/>
    <w:rsid w:val="274C35FE"/>
    <w:rsid w:val="28163820"/>
    <w:rsid w:val="287C03AF"/>
    <w:rsid w:val="2A7331BD"/>
    <w:rsid w:val="2AA76515"/>
    <w:rsid w:val="2BCE666F"/>
    <w:rsid w:val="2BE179EB"/>
    <w:rsid w:val="2BF87ED1"/>
    <w:rsid w:val="2BFF463C"/>
    <w:rsid w:val="2C0D6146"/>
    <w:rsid w:val="2CBC66AD"/>
    <w:rsid w:val="2CC12172"/>
    <w:rsid w:val="2CEC716A"/>
    <w:rsid w:val="2D2057F2"/>
    <w:rsid w:val="2D835246"/>
    <w:rsid w:val="2E4862BB"/>
    <w:rsid w:val="2EB22C52"/>
    <w:rsid w:val="2EDF2503"/>
    <w:rsid w:val="2F2A6E19"/>
    <w:rsid w:val="2F7215C9"/>
    <w:rsid w:val="30F73708"/>
    <w:rsid w:val="30F863FE"/>
    <w:rsid w:val="310444A3"/>
    <w:rsid w:val="313A2DC2"/>
    <w:rsid w:val="32382BF4"/>
    <w:rsid w:val="33105381"/>
    <w:rsid w:val="33EA3E24"/>
    <w:rsid w:val="342F7C9D"/>
    <w:rsid w:val="36936B79"/>
    <w:rsid w:val="36F44ACE"/>
    <w:rsid w:val="376173AB"/>
    <w:rsid w:val="37700F09"/>
    <w:rsid w:val="37B035DE"/>
    <w:rsid w:val="37ED3CDC"/>
    <w:rsid w:val="38C21BC7"/>
    <w:rsid w:val="39613064"/>
    <w:rsid w:val="3AC916FB"/>
    <w:rsid w:val="3AC9229B"/>
    <w:rsid w:val="3B175C66"/>
    <w:rsid w:val="3BE61A23"/>
    <w:rsid w:val="3C1A7270"/>
    <w:rsid w:val="3C506712"/>
    <w:rsid w:val="3CBB635D"/>
    <w:rsid w:val="3D0E0B83"/>
    <w:rsid w:val="3D804EB1"/>
    <w:rsid w:val="3DBC231B"/>
    <w:rsid w:val="3DC33DF0"/>
    <w:rsid w:val="3DCD7A37"/>
    <w:rsid w:val="3E4E5804"/>
    <w:rsid w:val="3E5F540E"/>
    <w:rsid w:val="404F2B3D"/>
    <w:rsid w:val="409E1FAE"/>
    <w:rsid w:val="409F25A6"/>
    <w:rsid w:val="40C1068E"/>
    <w:rsid w:val="40EB5E2E"/>
    <w:rsid w:val="41686577"/>
    <w:rsid w:val="41B55B4E"/>
    <w:rsid w:val="41CE016A"/>
    <w:rsid w:val="424C5BA2"/>
    <w:rsid w:val="427C033D"/>
    <w:rsid w:val="4286412E"/>
    <w:rsid w:val="42A3719F"/>
    <w:rsid w:val="42F80DB2"/>
    <w:rsid w:val="43B7168C"/>
    <w:rsid w:val="4431250F"/>
    <w:rsid w:val="44396802"/>
    <w:rsid w:val="444F192C"/>
    <w:rsid w:val="447C2876"/>
    <w:rsid w:val="44E26451"/>
    <w:rsid w:val="44FC06F4"/>
    <w:rsid w:val="45282B95"/>
    <w:rsid w:val="45440D98"/>
    <w:rsid w:val="458435F4"/>
    <w:rsid w:val="45C5024D"/>
    <w:rsid w:val="45C937D0"/>
    <w:rsid w:val="46293606"/>
    <w:rsid w:val="46BE746F"/>
    <w:rsid w:val="47DB18C9"/>
    <w:rsid w:val="47F839E2"/>
    <w:rsid w:val="484E2EA9"/>
    <w:rsid w:val="49164ABC"/>
    <w:rsid w:val="49995C78"/>
    <w:rsid w:val="49D0470F"/>
    <w:rsid w:val="49FE2799"/>
    <w:rsid w:val="4A0238F5"/>
    <w:rsid w:val="4A952DAE"/>
    <w:rsid w:val="4B66509A"/>
    <w:rsid w:val="4BC845F3"/>
    <w:rsid w:val="4BD016F9"/>
    <w:rsid w:val="4C6753F2"/>
    <w:rsid w:val="4C83776C"/>
    <w:rsid w:val="4CD53C0E"/>
    <w:rsid w:val="4D325232"/>
    <w:rsid w:val="4D666E75"/>
    <w:rsid w:val="4D814A59"/>
    <w:rsid w:val="4D926C66"/>
    <w:rsid w:val="4DD52FF7"/>
    <w:rsid w:val="4DE2074E"/>
    <w:rsid w:val="4DF80C26"/>
    <w:rsid w:val="4E994B9F"/>
    <w:rsid w:val="4F625BA7"/>
    <w:rsid w:val="4F7D3946"/>
    <w:rsid w:val="50447F7A"/>
    <w:rsid w:val="510A1419"/>
    <w:rsid w:val="51583D23"/>
    <w:rsid w:val="51AB02C4"/>
    <w:rsid w:val="51B3364F"/>
    <w:rsid w:val="51C602BA"/>
    <w:rsid w:val="52132340"/>
    <w:rsid w:val="52140592"/>
    <w:rsid w:val="52360357"/>
    <w:rsid w:val="52AD7609"/>
    <w:rsid w:val="52CD24EF"/>
    <w:rsid w:val="535B4E77"/>
    <w:rsid w:val="53762B86"/>
    <w:rsid w:val="55144E68"/>
    <w:rsid w:val="552C446C"/>
    <w:rsid w:val="55320D2F"/>
    <w:rsid w:val="5552317F"/>
    <w:rsid w:val="55627866"/>
    <w:rsid w:val="55820BFC"/>
    <w:rsid w:val="55D63DB0"/>
    <w:rsid w:val="56312D95"/>
    <w:rsid w:val="56515242"/>
    <w:rsid w:val="56CE3AA9"/>
    <w:rsid w:val="56FC732B"/>
    <w:rsid w:val="570F4E24"/>
    <w:rsid w:val="57376C93"/>
    <w:rsid w:val="57BA4624"/>
    <w:rsid w:val="57BF3FA4"/>
    <w:rsid w:val="58555460"/>
    <w:rsid w:val="58D1108E"/>
    <w:rsid w:val="59DD395F"/>
    <w:rsid w:val="59FE29BC"/>
    <w:rsid w:val="5AB126F6"/>
    <w:rsid w:val="5AE96334"/>
    <w:rsid w:val="5C07180B"/>
    <w:rsid w:val="5D1C02FB"/>
    <w:rsid w:val="5E2C6C63"/>
    <w:rsid w:val="5E7B3747"/>
    <w:rsid w:val="5EE83DA2"/>
    <w:rsid w:val="5FE13A7D"/>
    <w:rsid w:val="5FE46C8E"/>
    <w:rsid w:val="5FEF5A95"/>
    <w:rsid w:val="60372166"/>
    <w:rsid w:val="608E4C5E"/>
    <w:rsid w:val="60C44F62"/>
    <w:rsid w:val="60D54EE6"/>
    <w:rsid w:val="60F17CF0"/>
    <w:rsid w:val="62EE098B"/>
    <w:rsid w:val="648A3373"/>
    <w:rsid w:val="649E3CEB"/>
    <w:rsid w:val="65031DA0"/>
    <w:rsid w:val="65BB5819"/>
    <w:rsid w:val="66984259"/>
    <w:rsid w:val="677A27ED"/>
    <w:rsid w:val="6785255B"/>
    <w:rsid w:val="67B929BB"/>
    <w:rsid w:val="685C7FB7"/>
    <w:rsid w:val="686B482C"/>
    <w:rsid w:val="687D3C28"/>
    <w:rsid w:val="688C217B"/>
    <w:rsid w:val="68ED6FEF"/>
    <w:rsid w:val="69472BA3"/>
    <w:rsid w:val="69CB5582"/>
    <w:rsid w:val="6AA21139"/>
    <w:rsid w:val="6CF07C20"/>
    <w:rsid w:val="6D0B0407"/>
    <w:rsid w:val="6DBF6C55"/>
    <w:rsid w:val="6DD357EF"/>
    <w:rsid w:val="6DD864C0"/>
    <w:rsid w:val="6DE50C94"/>
    <w:rsid w:val="6F4A2780"/>
    <w:rsid w:val="6F795A80"/>
    <w:rsid w:val="6F7B2100"/>
    <w:rsid w:val="7019691C"/>
    <w:rsid w:val="71504C22"/>
    <w:rsid w:val="719E7F37"/>
    <w:rsid w:val="72C154D1"/>
    <w:rsid w:val="73360B16"/>
    <w:rsid w:val="737D1E5A"/>
    <w:rsid w:val="73A263BE"/>
    <w:rsid w:val="73AC5621"/>
    <w:rsid w:val="73AD7AA7"/>
    <w:rsid w:val="73B47087"/>
    <w:rsid w:val="73C76997"/>
    <w:rsid w:val="741B1AD7"/>
    <w:rsid w:val="751B597F"/>
    <w:rsid w:val="758D193E"/>
    <w:rsid w:val="75A63A1A"/>
    <w:rsid w:val="75DD668E"/>
    <w:rsid w:val="765A5C5D"/>
    <w:rsid w:val="76C72E9F"/>
    <w:rsid w:val="770025E3"/>
    <w:rsid w:val="7705006E"/>
    <w:rsid w:val="77071BC4"/>
    <w:rsid w:val="776A4892"/>
    <w:rsid w:val="78441ADC"/>
    <w:rsid w:val="788E0646"/>
    <w:rsid w:val="78F22A5B"/>
    <w:rsid w:val="79351E88"/>
    <w:rsid w:val="79835BAD"/>
    <w:rsid w:val="79981D97"/>
    <w:rsid w:val="79ED50A1"/>
    <w:rsid w:val="7A120FA2"/>
    <w:rsid w:val="7AAF67FA"/>
    <w:rsid w:val="7B325F99"/>
    <w:rsid w:val="7B424F78"/>
    <w:rsid w:val="7B9877B4"/>
    <w:rsid w:val="7BD57AA8"/>
    <w:rsid w:val="7D1E1A15"/>
    <w:rsid w:val="7D39684F"/>
    <w:rsid w:val="7D4A0A5C"/>
    <w:rsid w:val="7DB517E0"/>
    <w:rsid w:val="7E7E11AB"/>
    <w:rsid w:val="7ECF2FC7"/>
    <w:rsid w:val="7F054669"/>
    <w:rsid w:val="7F2A644F"/>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4717</Words>
  <Characters>4916</Characters>
  <Lines>0</Lines>
  <Paragraphs>0</Paragraphs>
  <TotalTime>2</TotalTime>
  <ScaleCrop>false</ScaleCrop>
  <LinksUpToDate>false</LinksUpToDate>
  <CharactersWithSpaces>5220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WPS_1658882146</cp:lastModifiedBy>
  <cp:lastPrinted>2024-09-02T01:02:00Z</cp:lastPrinted>
  <dcterms:modified xsi:type="dcterms:W3CDTF">2026-02-26T07:38:11Z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C7CACC270C3E492C84FEA1661ABD5F03_13</vt:lpwstr>
  </property>
  <property fmtid="{D5CDD505-2E9C-101B-9397-08002B2CF9AE}" pid="4" name="KSOTemplateDocerSaveRecord">
    <vt:lpwstr>eyJoZGlkIjoiOThmZjEwYzc0ZWY0ZTI5ZTI4YjE1MjBkNmY1M2ZiNzkiLCJ1c2VySWQiOiI4NjU1Nzg4MTMifQ==</vt:lpwstr>
  </property>
</Properties>
</file>