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41"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Times New Roman" w:hAnsi="Times New Roman" w:eastAsia="仿宋_GB2312" w:cs="Times New Roman"/>
                <w:b/>
                <w:color w:val="000000"/>
                <w:sz w:val="24"/>
                <w:szCs w:val="24"/>
                <w:highlight w:val="none"/>
                <w:lang w:val="en-US" w:eastAsia="zh-CN"/>
              </w:rPr>
              <w:t>许襄长输综合供热管网建设项目10KV外电穿越兰南高速安全影响评价服务单位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284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keepNext w:val="0"/>
              <w:keepLines w:val="0"/>
              <w:pageBreakBefore w:val="0"/>
              <w:widowControl/>
              <w:shd w:val="clear" w:color="auto" w:fill="auto"/>
              <w:kinsoku/>
              <w:wordWrap/>
              <w:overflowPunct/>
              <w:topLinePunct w:val="0"/>
              <w:autoSpaceDE/>
              <w:autoSpaceDN/>
              <w:bidi w:val="0"/>
              <w:adjustRightInd w:val="0"/>
              <w:snapToGrid w:val="0"/>
              <w:spacing w:line="480" w:lineRule="exact"/>
              <w:jc w:val="center"/>
              <w:textAlignment w:val="center"/>
              <w:rPr>
                <w:rFonts w:ascii="仿宋_GB2312" w:hAnsi="宋体" w:eastAsia="仿宋_GB2312" w:cs="仿宋_GB2312"/>
                <w:b/>
                <w:color w:val="000000"/>
                <w:kern w:val="0"/>
                <w:sz w:val="28"/>
                <w:szCs w:val="28"/>
                <w:lang w:val="en-US" w:bidi="ar"/>
              </w:rPr>
            </w:pPr>
            <w:r>
              <w:rPr>
                <w:rFonts w:hint="default" w:ascii="仿宋_GB2312" w:hAnsi="宋体" w:eastAsia="仿宋_GB2312" w:cs="仿宋_GB2312"/>
                <w:b/>
                <w:color w:val="000000"/>
                <w:kern w:val="0"/>
                <w:sz w:val="32"/>
                <w:szCs w:val="32"/>
                <w:lang w:bidi="ar"/>
              </w:rPr>
              <w:t xml:space="preserve"> </w:t>
            </w:r>
            <w:r>
              <w:rPr>
                <w:rFonts w:hint="default" w:ascii="仿宋_GB2312" w:hAnsi="宋体" w:eastAsia="仿宋_GB2312" w:cs="仿宋_GB2312"/>
                <w:b/>
                <w:color w:val="000000"/>
                <w:kern w:val="0"/>
                <w:sz w:val="32"/>
                <w:szCs w:val="32"/>
                <w:lang w:val="en-US" w:eastAsia="zh-CN" w:bidi="ar"/>
              </w:rPr>
              <w:t>****元（含税）</w:t>
            </w:r>
          </w:p>
        </w:tc>
      </w:tr>
    </w:tbl>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7E84300A">
      <w:pPr>
        <w:rPr>
          <w:rFonts w:hint="eastAsia" w:ascii="仿宋_GB2312" w:hAnsi="仿宋_GB2312" w:eastAsia="仿宋_GB2312" w:cs="仿宋_GB2312"/>
          <w:sz w:val="32"/>
          <w:szCs w:val="32"/>
          <w:highlight w:val="none"/>
          <w:lang w:val="en-US" w:eastAsia="zh-CN"/>
        </w:rPr>
      </w:pPr>
    </w:p>
    <w:p w14:paraId="42EBF008">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highlight w:val="none"/>
                <w:lang w:val="zh-CN"/>
              </w:rPr>
            </w:pPr>
            <w:r>
              <w:rPr>
                <w:rFonts w:hint="default" w:ascii="Times New Roman" w:hAnsi="Times New Roman" w:eastAsia="仿宋_GB2312" w:cs="Times New Roman"/>
                <w:kern w:val="2"/>
                <w:sz w:val="32"/>
                <w:szCs w:val="32"/>
                <w:highlight w:val="none"/>
                <w:lang w:val="en-US" w:eastAsia="zh-CN" w:bidi="ar-SA"/>
              </w:rPr>
              <w:t>企业报价</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u w:val="single"/>
                <w:lang w:val="en-US" w:eastAsia="zh-CN"/>
              </w:rPr>
              <w:t>30</w:t>
            </w:r>
            <w:r>
              <w:rPr>
                <w:rFonts w:hint="eastAsia" w:ascii="仿宋_GB2312" w:hAnsi="仿宋_GB2312" w:eastAsia="仿宋_GB2312" w:cs="仿宋_GB2312"/>
                <w:sz w:val="32"/>
                <w:szCs w:val="32"/>
                <w:highlight w:val="none"/>
                <w:u w:val="single"/>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highlight w:val="none"/>
                <w:lang w:val="zh-CN" w:eastAsia="zh-CN"/>
              </w:rPr>
            </w:pPr>
            <w:r>
              <w:rPr>
                <w:rFonts w:hint="default" w:ascii="Times New Roman" w:hAnsi="Times New Roman" w:eastAsia="仿宋_GB2312" w:cs="Times New Roman"/>
                <w:kern w:val="2"/>
                <w:sz w:val="32"/>
                <w:szCs w:val="32"/>
                <w:highlight w:val="none"/>
                <w:lang w:val="en-US" w:eastAsia="zh-CN" w:bidi="ar-SA"/>
              </w:rPr>
              <w:t>企业业绩</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u w:val="single"/>
                <w:lang w:val="en-US" w:eastAsia="zh-CN"/>
              </w:rPr>
              <w:t xml:space="preserve"> 20</w:t>
            </w:r>
            <w:r>
              <w:rPr>
                <w:rFonts w:hint="eastAsia" w:ascii="仿宋_GB2312" w:hAnsi="仿宋_GB2312" w:eastAsia="仿宋_GB2312" w:cs="仿宋_GB2312"/>
                <w:sz w:val="32"/>
                <w:szCs w:val="32"/>
                <w:highlight w:val="none"/>
                <w:u w:val="single"/>
                <w:lang w:val="zh-CN" w:eastAsia="zh-CN"/>
              </w:rPr>
              <w:t>分</w:t>
            </w:r>
          </w:p>
          <w:p w14:paraId="74842049">
            <w:pPr>
              <w:widowControl/>
              <w:adjustRightInd w:val="0"/>
              <w:snapToGrid w:val="0"/>
              <w:spacing w:line="276" w:lineRule="auto"/>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服务方案</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u w:val="single"/>
                <w:lang w:val="en-US" w:eastAsia="zh-CN"/>
              </w:rPr>
              <w:t>30</w:t>
            </w:r>
            <w:r>
              <w:rPr>
                <w:rFonts w:hint="eastAsia" w:ascii="仿宋_GB2312" w:hAnsi="仿宋_GB2312" w:eastAsia="仿宋_GB2312" w:cs="仿宋_GB2312"/>
                <w:sz w:val="32"/>
                <w:szCs w:val="32"/>
                <w:highlight w:val="none"/>
                <w:u w:val="single"/>
                <w:lang w:val="zh-CN" w:eastAsia="zh-CN"/>
              </w:rPr>
              <w:t>分</w:t>
            </w:r>
          </w:p>
          <w:p w14:paraId="16CB6E44">
            <w:pPr>
              <w:adjustRightInd w:val="0"/>
              <w:snapToGrid w:val="0"/>
              <w:spacing w:line="276" w:lineRule="auto"/>
              <w:jc w:val="both"/>
              <w:rPr>
                <w:rFonts w:hint="eastAsia"/>
                <w:highlight w:val="none"/>
                <w:lang w:val="en-US"/>
              </w:rPr>
            </w:pPr>
            <w:r>
              <w:rPr>
                <w:rFonts w:hint="eastAsia" w:ascii="仿宋_GB2312" w:hAnsi="仿宋_GB2312" w:eastAsia="仿宋_GB2312" w:cs="仿宋_GB2312"/>
                <w:sz w:val="32"/>
                <w:szCs w:val="32"/>
                <w:highlight w:val="none"/>
                <w:lang w:val="en-US" w:eastAsia="zh-CN"/>
              </w:rPr>
              <w:t xml:space="preserve">项目人员： </w:t>
            </w:r>
            <w:r>
              <w:rPr>
                <w:rFonts w:hint="eastAsia" w:ascii="仿宋_GB2312" w:hAnsi="仿宋_GB2312" w:eastAsia="仿宋_GB2312" w:cs="仿宋_GB2312"/>
                <w:sz w:val="32"/>
                <w:szCs w:val="32"/>
                <w:highlight w:val="none"/>
                <w:u w:val="single"/>
                <w:lang w:val="en-US" w:eastAsia="zh-CN"/>
              </w:rPr>
              <w:t>20分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p>
        </w:tc>
        <w:tc>
          <w:tcPr>
            <w:tcW w:w="7863" w:type="dxa"/>
            <w:tcMar>
              <w:top w:w="0" w:type="dxa"/>
              <w:left w:w="0" w:type="dxa"/>
              <w:bottom w:w="0" w:type="dxa"/>
              <w:right w:w="0" w:type="dxa"/>
            </w:tcMar>
            <w:vAlign w:val="center"/>
          </w:tcPr>
          <w:p w14:paraId="659B5404">
            <w:pPr>
              <w:widowControl/>
              <w:adjustRightInd w:val="0"/>
              <w:snapToGrid w:val="0"/>
              <w:spacing w:line="276" w:lineRule="auto"/>
              <w:ind w:firstLine="640" w:firstLineChars="200"/>
              <w:jc w:val="left"/>
              <w:rPr>
                <w:rFonts w:hint="default" w:eastAsia="仿宋_GB2312" w:cs="Times New Roman"/>
                <w:b w:val="0"/>
                <w:bCs w:val="0"/>
                <w:kern w:val="2"/>
                <w:sz w:val="32"/>
                <w:szCs w:val="32"/>
                <w:highlight w:val="none"/>
                <w:lang w:val="en-US" w:eastAsia="zh-CN" w:bidi="ar-SA"/>
              </w:rPr>
            </w:pPr>
            <w:r>
              <w:rPr>
                <w:rFonts w:hint="eastAsia" w:ascii="仿宋_GB2312" w:hAnsi="仿宋_GB2312" w:eastAsia="仿宋_GB2312" w:cs="仿宋_GB2312"/>
                <w:sz w:val="32"/>
                <w:szCs w:val="32"/>
                <w:highlight w:val="none"/>
                <w:lang w:val="zh-CN" w:eastAsia="zh-CN"/>
              </w:rPr>
              <w:t>投标报价得分=（基准价/</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val="zh-CN" w:eastAsia="zh-CN"/>
              </w:rPr>
              <w:t>报价）×</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eastAsia="zh-CN"/>
              </w:rPr>
              <w:t>分。满足招标文件要求的</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lang w:val="zh-CN" w:eastAsia="zh-CN"/>
              </w:rPr>
              <w:t>有</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lang w:val="zh-CN" w:eastAsia="zh-CN"/>
              </w:rPr>
              <w:t>效投标报价中，最低的投标报价为评标基准价。</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企业每提供2022年1月1日以来类似涉路安全评价项目业绩（需提供业绩合同，以合同签订时间为准），每提供1个得5分，最高得20分。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服务方案</w:t>
            </w:r>
          </w:p>
          <w:p w14:paraId="78246172">
            <w:pPr>
              <w:adjustRightInd w:val="0"/>
              <w:snapToGrid w:val="0"/>
              <w:spacing w:line="276" w:lineRule="auto"/>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（30分）</w:t>
            </w:r>
          </w:p>
        </w:tc>
        <w:tc>
          <w:tcPr>
            <w:tcW w:w="7863" w:type="dxa"/>
            <w:tcMar>
              <w:top w:w="0" w:type="dxa"/>
              <w:left w:w="0" w:type="dxa"/>
              <w:bottom w:w="0" w:type="dxa"/>
              <w:right w:w="0" w:type="dxa"/>
            </w:tcMar>
            <w:vAlign w:val="center"/>
          </w:tcPr>
          <w:p w14:paraId="5A47C10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方案设计、规划理念及思路（10 分）：项目实施方案包含总体工作流程、方案设计、规划理念及思路明确；项目实施人员配备齐全，管理措施得当，设备安排明确，内容完整，优秀6-10分；良好1-5分；没有不得分；</w:t>
            </w:r>
          </w:p>
          <w:p w14:paraId="41776E4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重、难点的理解以及关键技术问题的对策措施（10 分）：包含对项目进行重点难点分析并制定相应措施，配合后期整体项目实施的分析；关键技术问题的对策措施，降低项目成本、提高工作质量的建议和措施，优秀6-10分；良好1-5分；没有不得分；</w:t>
            </w:r>
          </w:p>
          <w:p w14:paraId="0AAF611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highlight w:val="none"/>
                <w:lang w:val="en-US" w:eastAsia="zh-CN"/>
              </w:rPr>
            </w:pPr>
            <w:r>
              <w:rPr>
                <w:rFonts w:hint="eastAsia" w:ascii="仿宋_GB2312" w:hAnsi="仿宋_GB2312" w:eastAsia="仿宋_GB2312" w:cs="仿宋_GB2312"/>
                <w:sz w:val="32"/>
                <w:szCs w:val="32"/>
                <w:highlight w:val="none"/>
                <w:lang w:val="en-US" w:eastAsia="zh-CN"/>
              </w:rPr>
              <w:t>确保调查服务期和项目质量的技术和组织措施（10 分）：包含质量控制方案、程序和执行标准；对项目实施关键节点把握，能够严格按计划完成相关工作；确保调查服务期和项目质量的技术和组织措施，合理安排工作进度，组织措施完整，质量控制思路，质量管理体系，优秀6-10分；良好1-5分；没有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CF3AB30">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项目人员</w:t>
            </w:r>
          </w:p>
          <w:p w14:paraId="618C226D">
            <w:pPr>
              <w:adjustRightInd w:val="0"/>
              <w:snapToGrid w:val="0"/>
              <w:spacing w:line="276" w:lineRule="auto"/>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200" w:leftChars="0" w:firstLine="640" w:firstLineChars="0"/>
              <w:jc w:val="both"/>
              <w:textAlignment w:val="auto"/>
              <w:rPr>
                <w:rFonts w:hint="eastAsia" w:eastAsia="宋体"/>
                <w:highlight w:val="none"/>
                <w:lang w:val="en-US" w:eastAsia="zh-CN"/>
              </w:rPr>
            </w:pPr>
            <w:r>
              <w:rPr>
                <w:rFonts w:hint="eastAsia" w:ascii="仿宋_GB2312" w:hAnsi="仿宋_GB2312" w:eastAsia="仿宋_GB2312" w:cs="仿宋_GB2312"/>
                <w:b w:val="0"/>
                <w:bCs w:val="0"/>
                <w:sz w:val="32"/>
                <w:szCs w:val="32"/>
                <w:highlight w:val="none"/>
                <w:lang w:val="en-US" w:eastAsia="zh-CN"/>
              </w:rPr>
              <w:t>项目负责人具有相关</w:t>
            </w:r>
            <w:r>
              <w:rPr>
                <w:rFonts w:hint="eastAsia" w:ascii="仿宋_GB2312" w:hAnsi="仿宋_GB2312" w:eastAsia="仿宋_GB2312" w:cs="仿宋_GB2312"/>
                <w:b w:val="0"/>
                <w:bCs w:val="0"/>
                <w:color w:val="auto"/>
                <w:sz w:val="32"/>
                <w:szCs w:val="32"/>
                <w:highlight w:val="none"/>
                <w:lang w:val="en-US" w:eastAsia="zh-CN"/>
              </w:rPr>
              <w:t>公路专业高级及以上职称并且具有咨询工程师执业资格证书得10分，项目组人员中除项目负责人外，其他人员具有相关公路专</w:t>
            </w:r>
            <w:r>
              <w:rPr>
                <w:rFonts w:hint="eastAsia" w:ascii="仿宋_GB2312" w:hAnsi="仿宋_GB2312" w:eastAsia="仿宋_GB2312" w:cs="仿宋_GB2312"/>
                <w:b w:val="0"/>
                <w:bCs w:val="0"/>
                <w:sz w:val="32"/>
                <w:szCs w:val="32"/>
                <w:highlight w:val="none"/>
                <w:lang w:val="en-US" w:eastAsia="zh-CN"/>
              </w:rPr>
              <w:t>业高级及以上职称，每提供一人得5分，最高得10分；（需提供投标人员劳动合同、职称证书执业证书及投标人为其缴纳近一年内连续3个月的社保等证明材料）</w:t>
            </w:r>
            <w:r>
              <w:rPr>
                <w:rFonts w:hint="eastAsia" w:ascii="仿宋_GB2312" w:hAnsi="仿宋_GB2312" w:eastAsia="仿宋_GB2312" w:cs="仿宋_GB2312"/>
                <w:color w:val="000000"/>
                <w:sz w:val="32"/>
                <w:szCs w:val="32"/>
                <w:highlight w:val="none"/>
                <w:lang w:val="en-US" w:eastAsia="zh-CN"/>
              </w:rPr>
              <w:t>。</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5A6E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3EA3CECA">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138ED924">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2F56B7D"/>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2AE6782"/>
    <w:rsid w:val="13E548F0"/>
    <w:rsid w:val="14DE1D5E"/>
    <w:rsid w:val="150E2520"/>
    <w:rsid w:val="15F077B3"/>
    <w:rsid w:val="160859C0"/>
    <w:rsid w:val="16262886"/>
    <w:rsid w:val="167B76EC"/>
    <w:rsid w:val="16FF0D0A"/>
    <w:rsid w:val="17640838"/>
    <w:rsid w:val="178A3202"/>
    <w:rsid w:val="17A51BCE"/>
    <w:rsid w:val="18565610"/>
    <w:rsid w:val="1A501C68"/>
    <w:rsid w:val="1BD6553D"/>
    <w:rsid w:val="1BF445CC"/>
    <w:rsid w:val="1CEB654E"/>
    <w:rsid w:val="1D9A07EC"/>
    <w:rsid w:val="1DC22489"/>
    <w:rsid w:val="1E6710C6"/>
    <w:rsid w:val="1F332CA6"/>
    <w:rsid w:val="1F9D1E18"/>
    <w:rsid w:val="21AE4866"/>
    <w:rsid w:val="22286977"/>
    <w:rsid w:val="2283274F"/>
    <w:rsid w:val="22900BB2"/>
    <w:rsid w:val="22CF54A4"/>
    <w:rsid w:val="234B5C3C"/>
    <w:rsid w:val="23EE3640"/>
    <w:rsid w:val="23FB7198"/>
    <w:rsid w:val="250B339C"/>
    <w:rsid w:val="26AF421C"/>
    <w:rsid w:val="27BF38CF"/>
    <w:rsid w:val="283F1AED"/>
    <w:rsid w:val="28B62672"/>
    <w:rsid w:val="28C17575"/>
    <w:rsid w:val="28D36381"/>
    <w:rsid w:val="29E1276B"/>
    <w:rsid w:val="2BC62952"/>
    <w:rsid w:val="2C5767DE"/>
    <w:rsid w:val="2D2817A7"/>
    <w:rsid w:val="2EC3522E"/>
    <w:rsid w:val="309143F1"/>
    <w:rsid w:val="31565C01"/>
    <w:rsid w:val="31D3456C"/>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3EA00392"/>
    <w:rsid w:val="3EFF797D"/>
    <w:rsid w:val="4070746C"/>
    <w:rsid w:val="41695CBB"/>
    <w:rsid w:val="427B3B7B"/>
    <w:rsid w:val="438D7307"/>
    <w:rsid w:val="44BB1AF2"/>
    <w:rsid w:val="454A3AE3"/>
    <w:rsid w:val="461026EE"/>
    <w:rsid w:val="464042EF"/>
    <w:rsid w:val="47B42BE7"/>
    <w:rsid w:val="47FB2A68"/>
    <w:rsid w:val="4A126E2F"/>
    <w:rsid w:val="4A3D2009"/>
    <w:rsid w:val="4A9B4F45"/>
    <w:rsid w:val="4B2116C3"/>
    <w:rsid w:val="4FDC1809"/>
    <w:rsid w:val="50B8067E"/>
    <w:rsid w:val="5369461E"/>
    <w:rsid w:val="54A17FFB"/>
    <w:rsid w:val="557B7D05"/>
    <w:rsid w:val="589C7FC2"/>
    <w:rsid w:val="596040BD"/>
    <w:rsid w:val="59893E86"/>
    <w:rsid w:val="5B842F3A"/>
    <w:rsid w:val="5C327A9E"/>
    <w:rsid w:val="5CD1784E"/>
    <w:rsid w:val="5CF873CF"/>
    <w:rsid w:val="5F6D3C60"/>
    <w:rsid w:val="5F7B581A"/>
    <w:rsid w:val="61215F42"/>
    <w:rsid w:val="62496241"/>
    <w:rsid w:val="6282022A"/>
    <w:rsid w:val="629E645C"/>
    <w:rsid w:val="62F72DBF"/>
    <w:rsid w:val="635011B8"/>
    <w:rsid w:val="63B41DA5"/>
    <w:rsid w:val="64555C7B"/>
    <w:rsid w:val="655F1E1A"/>
    <w:rsid w:val="66374F8A"/>
    <w:rsid w:val="669F7F7B"/>
    <w:rsid w:val="68DC3034"/>
    <w:rsid w:val="68F608D3"/>
    <w:rsid w:val="6BA97B57"/>
    <w:rsid w:val="6CAC04F4"/>
    <w:rsid w:val="6E34121C"/>
    <w:rsid w:val="6F406484"/>
    <w:rsid w:val="70722F5B"/>
    <w:rsid w:val="70755836"/>
    <w:rsid w:val="70D44079"/>
    <w:rsid w:val="75E44C31"/>
    <w:rsid w:val="768D3F82"/>
    <w:rsid w:val="77E57406"/>
    <w:rsid w:val="78084DD5"/>
    <w:rsid w:val="78283BA0"/>
    <w:rsid w:val="78B239AC"/>
    <w:rsid w:val="79071AD5"/>
    <w:rsid w:val="795B139E"/>
    <w:rsid w:val="79DA0070"/>
    <w:rsid w:val="79E97840"/>
    <w:rsid w:val="7B4F787C"/>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923</Words>
  <Characters>966</Characters>
  <Lines>0</Lines>
  <Paragraphs>0</Paragraphs>
  <TotalTime>0</TotalTime>
  <ScaleCrop>false</ScaleCrop>
  <LinksUpToDate>false</LinksUpToDate>
  <CharactersWithSpaces>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2026-06-17T00:16:16Z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C40EFD90738346D9840FEB991ED99BC3_13</vt:lpwstr>
  </property>
  <property fmtid="{D5CDD505-2E9C-101B-9397-08002B2CF9AE}" pid="4" name="commondata">
    <vt:lpwstr>eyJoZGlkIjoiN2I0NDMxMDhhNzIxZjIxM2FiMjFkZWExNzY4MTY3OTUifQ==</vt:lpwstr>
  </property>
  <property fmtid="{D5CDD505-2E9C-101B-9397-08002B2CF9AE}" pid="5" name="KSOTemplateDocerSaveRecord">
    <vt:lpwstr>eyJoZGlkIjoiZjM0NTAwZDYxN2E5ZjM4YmZkODg5ZjRkYmJhZDQyM2MiLCJ1c2VySWQiOiI1OTk3NzY2OTYifQ==</vt:lpwstr>
  </property>
</Properties>
</file>