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5287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附件1：</w:t>
      </w:r>
    </w:p>
    <w:p w14:paraId="1B92B56B">
      <w:pPr>
        <w:pageBreakBefore w:val="0"/>
        <w:shd w:val="clear" w:color="auto" w:fill="auto"/>
        <w:kinsoku/>
        <w:wordWrap/>
        <w:overflowPunct/>
        <w:topLinePunct w:val="0"/>
        <w:bidi w:val="0"/>
        <w:spacing w:line="560" w:lineRule="exact"/>
        <w:jc w:val="center"/>
        <w:rPr>
          <w:rFonts w:hint="default" w:ascii="Times New Roman" w:hAnsi="Times New Roman" w:eastAsia="方正小标宋简体" w:cs="Times New Roman"/>
          <w:b w:val="0"/>
          <w:bCs w:val="0"/>
          <w:sz w:val="44"/>
          <w:szCs w:val="44"/>
          <w:highlight w:val="none"/>
        </w:rPr>
      </w:pPr>
      <w:r>
        <w:rPr>
          <w:rFonts w:hint="default" w:ascii="Times New Roman" w:hAnsi="Times New Roman" w:eastAsia="方正小标宋简体" w:cs="Times New Roman"/>
          <w:b w:val="0"/>
          <w:bCs w:val="0"/>
          <w:sz w:val="44"/>
          <w:szCs w:val="44"/>
          <w:highlight w:val="none"/>
        </w:rPr>
        <w:t>报价单</w:t>
      </w:r>
    </w:p>
    <w:p w14:paraId="3DBC6FA1">
      <w:pPr>
        <w:pageBreakBefore w:val="0"/>
        <w:shd w:val="clear" w:color="auto" w:fill="auto"/>
        <w:kinsoku/>
        <w:wordWrap/>
        <w:overflowPunct/>
        <w:topLinePunct w:val="0"/>
        <w:bidi w:val="0"/>
        <w:spacing w:line="560" w:lineRule="exact"/>
        <w:jc w:val="center"/>
        <w:rPr>
          <w:rFonts w:hint="default" w:ascii="Times New Roman" w:hAnsi="Times New Roman" w:eastAsia="仿宋_GB2312" w:cs="Times New Roman"/>
          <w:b/>
          <w:sz w:val="32"/>
          <w:szCs w:val="32"/>
          <w:highlight w:val="none"/>
        </w:rPr>
      </w:pPr>
    </w:p>
    <w:tbl>
      <w:tblPr>
        <w:tblStyle w:val="5"/>
        <w:tblW w:w="8683" w:type="dxa"/>
        <w:tblInd w:w="0" w:type="dxa"/>
        <w:tblLayout w:type="fixed"/>
        <w:tblCellMar>
          <w:top w:w="15" w:type="dxa"/>
          <w:left w:w="15" w:type="dxa"/>
          <w:bottom w:w="15" w:type="dxa"/>
          <w:right w:w="15" w:type="dxa"/>
        </w:tblCellMar>
      </w:tblPr>
      <w:tblGrid>
        <w:gridCol w:w="3134"/>
        <w:gridCol w:w="5549"/>
      </w:tblGrid>
      <w:tr w14:paraId="7E77F60B">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39C478A9">
            <w:pPr>
              <w:pageBreakBefore w:val="0"/>
              <w:widowControl/>
              <w:shd w:val="clear" w:color="auto" w:fill="auto"/>
              <w:kinsoku/>
              <w:wordWrap/>
              <w:overflowPunct/>
              <w:topLinePunct w:val="0"/>
              <w:bidi w:val="0"/>
              <w:spacing w:line="560" w:lineRule="exact"/>
              <w:jc w:val="center"/>
              <w:textAlignment w:val="center"/>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kern w:val="0"/>
                <w:sz w:val="32"/>
                <w:szCs w:val="32"/>
                <w:highlight w:val="none"/>
                <w:lang w:bidi="ar"/>
              </w:rPr>
              <w:t>项目名称</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54E04DFD">
            <w:pPr>
              <w:pageBreakBefore w:val="0"/>
              <w:widowControl/>
              <w:shd w:val="clear" w:color="auto" w:fill="auto"/>
              <w:kinsoku/>
              <w:wordWrap/>
              <w:overflowPunct/>
              <w:topLinePunct w:val="0"/>
              <w:bidi w:val="0"/>
              <w:spacing w:line="560" w:lineRule="exact"/>
              <w:jc w:val="center"/>
              <w:textAlignment w:val="center"/>
              <w:rPr>
                <w:rFonts w:hint="default" w:ascii="Times New Roman" w:hAnsi="Times New Roman" w:eastAsia="仿宋_GB2312" w:cs="Times New Roman"/>
                <w:b/>
                <w:color w:val="000000"/>
                <w:kern w:val="0"/>
                <w:sz w:val="32"/>
                <w:szCs w:val="32"/>
                <w:highlight w:val="none"/>
                <w:lang w:val="en-US" w:eastAsia="zh-CN" w:bidi="ar"/>
              </w:rPr>
            </w:pPr>
            <w:r>
              <w:rPr>
                <w:rFonts w:hint="eastAsia" w:ascii="Times New Roman" w:hAnsi="Times New Roman" w:eastAsia="仿宋_GB2312" w:cs="Times New Roman"/>
                <w:b/>
                <w:color w:val="000000"/>
                <w:kern w:val="0"/>
                <w:sz w:val="32"/>
                <w:szCs w:val="32"/>
                <w:highlight w:val="none"/>
                <w:lang w:val="en-US" w:eastAsia="zh-CN" w:bidi="ar"/>
              </w:rPr>
              <w:t>许禹长输供热管线项目隔压换热站板式换热器拆洗及胶垫和板片更换服务</w:t>
            </w:r>
          </w:p>
        </w:tc>
      </w:tr>
      <w:tr w14:paraId="60C9F45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noWrap w:val="0"/>
            <w:vAlign w:val="center"/>
          </w:tcPr>
          <w:p w14:paraId="7383B04D">
            <w:pPr>
              <w:pageBreakBefore w:val="0"/>
              <w:widowControl/>
              <w:shd w:val="clear" w:color="auto" w:fill="auto"/>
              <w:kinsoku/>
              <w:wordWrap/>
              <w:overflowPunct/>
              <w:topLinePunct w:val="0"/>
              <w:bidi w:val="0"/>
              <w:spacing w:line="560" w:lineRule="exact"/>
              <w:jc w:val="center"/>
              <w:textAlignment w:val="center"/>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kern w:val="0"/>
                <w:sz w:val="32"/>
                <w:szCs w:val="32"/>
                <w:highlight w:val="none"/>
                <w:lang w:bidi="ar"/>
              </w:rPr>
              <w:t>申请人</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0C6523A6">
            <w:pPr>
              <w:pageBreakBefore w:val="0"/>
              <w:widowControl/>
              <w:shd w:val="clear" w:color="auto" w:fill="auto"/>
              <w:kinsoku/>
              <w:wordWrap/>
              <w:overflowPunct/>
              <w:topLinePunct w:val="0"/>
              <w:bidi w:val="0"/>
              <w:spacing w:line="560" w:lineRule="exact"/>
              <w:jc w:val="center"/>
              <w:textAlignment w:val="center"/>
              <w:rPr>
                <w:rFonts w:hint="default" w:ascii="Times New Roman" w:hAnsi="Times New Roman" w:eastAsia="仿宋_GB2312" w:cs="Times New Roman"/>
                <w:b/>
                <w:color w:val="000000"/>
                <w:kern w:val="0"/>
                <w:sz w:val="32"/>
                <w:szCs w:val="32"/>
                <w:highlight w:val="none"/>
                <w:lang w:bidi="ar"/>
              </w:rPr>
            </w:pPr>
          </w:p>
        </w:tc>
      </w:tr>
      <w:tr w14:paraId="346FD20F">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057D4ED6">
            <w:pPr>
              <w:pageBreakBefore w:val="0"/>
              <w:widowControl/>
              <w:shd w:val="clear" w:color="auto" w:fill="auto"/>
              <w:kinsoku/>
              <w:wordWrap/>
              <w:overflowPunct/>
              <w:topLinePunct w:val="0"/>
              <w:bidi w:val="0"/>
              <w:spacing w:line="560" w:lineRule="exact"/>
              <w:jc w:val="center"/>
              <w:textAlignment w:val="center"/>
              <w:rPr>
                <w:rFonts w:hint="default" w:ascii="Times New Roman" w:hAnsi="Times New Roman" w:eastAsia="仿宋_GB2312" w:cs="Times New Roman"/>
                <w:b/>
                <w:color w:val="000000"/>
                <w:kern w:val="0"/>
                <w:sz w:val="32"/>
                <w:szCs w:val="32"/>
                <w:highlight w:val="none"/>
                <w:lang w:bidi="ar"/>
              </w:rPr>
            </w:pPr>
            <w:r>
              <w:rPr>
                <w:rFonts w:hint="default" w:ascii="Times New Roman" w:hAnsi="Times New Roman" w:eastAsia="仿宋_GB2312" w:cs="Times New Roman"/>
                <w:b/>
                <w:color w:val="000000"/>
                <w:kern w:val="0"/>
                <w:sz w:val="32"/>
                <w:szCs w:val="32"/>
                <w:highlight w:val="none"/>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0EADEEB1">
            <w:pPr>
              <w:pageBreakBefore w:val="0"/>
              <w:widowControl/>
              <w:shd w:val="clear" w:color="auto" w:fill="auto"/>
              <w:kinsoku/>
              <w:wordWrap/>
              <w:overflowPunct/>
              <w:topLinePunct w:val="0"/>
              <w:bidi w:val="0"/>
              <w:spacing w:line="560" w:lineRule="exact"/>
              <w:jc w:val="center"/>
              <w:textAlignment w:val="center"/>
              <w:rPr>
                <w:rFonts w:hint="default" w:ascii="Times New Roman" w:hAnsi="Times New Roman" w:eastAsia="仿宋_GB2312" w:cs="Times New Roman"/>
                <w:b/>
                <w:color w:val="000000"/>
                <w:sz w:val="32"/>
                <w:szCs w:val="32"/>
                <w:highlight w:val="none"/>
              </w:rPr>
            </w:pPr>
          </w:p>
        </w:tc>
      </w:tr>
      <w:tr w14:paraId="7CC30AD9">
        <w:tblPrEx>
          <w:tblCellMar>
            <w:top w:w="15" w:type="dxa"/>
            <w:left w:w="15" w:type="dxa"/>
            <w:bottom w:w="15" w:type="dxa"/>
            <w:right w:w="15" w:type="dxa"/>
          </w:tblCellMar>
        </w:tblPrEx>
        <w:trPr>
          <w:trHeight w:val="3233"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5FD9F1EB">
            <w:pPr>
              <w:pageBreakBefore w:val="0"/>
              <w:widowControl/>
              <w:shd w:val="clear" w:color="auto" w:fill="auto"/>
              <w:kinsoku/>
              <w:wordWrap/>
              <w:overflowPunct/>
              <w:topLinePunct w:val="0"/>
              <w:bidi w:val="0"/>
              <w:spacing w:line="560" w:lineRule="exact"/>
              <w:jc w:val="center"/>
              <w:textAlignment w:val="center"/>
              <w:rPr>
                <w:rFonts w:hint="default" w:ascii="Times New Roman" w:hAnsi="Times New Roman" w:eastAsia="仿宋_GB2312" w:cs="Times New Roman"/>
                <w:b/>
                <w:color w:val="000000"/>
                <w:kern w:val="0"/>
                <w:sz w:val="32"/>
                <w:szCs w:val="32"/>
                <w:highlight w:val="none"/>
                <w:lang w:val="en-US" w:eastAsia="zh-CN" w:bidi="ar"/>
              </w:rPr>
            </w:pPr>
            <w:r>
              <w:rPr>
                <w:rFonts w:hint="default" w:ascii="Times New Roman" w:hAnsi="Times New Roman" w:eastAsia="仿宋_GB2312" w:cs="Times New Roman"/>
                <w:b/>
                <w:color w:val="000000"/>
                <w:kern w:val="0"/>
                <w:sz w:val="32"/>
                <w:szCs w:val="32"/>
                <w:highlight w:val="none"/>
                <w:lang w:val="en-US" w:eastAsia="zh-CN" w:bidi="ar"/>
              </w:rPr>
              <w:t>项目工作内容</w:t>
            </w:r>
            <w:bookmarkStart w:id="0" w:name="_GoBack"/>
            <w:bookmarkEnd w:id="0"/>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5679C15C">
            <w:pPr>
              <w:pageBreakBefore w:val="0"/>
              <w:widowControl/>
              <w:shd w:val="clear" w:color="auto" w:fill="auto"/>
              <w:kinsoku/>
              <w:wordWrap/>
              <w:overflowPunct/>
              <w:topLinePunct w:val="0"/>
              <w:bidi w:val="0"/>
              <w:spacing w:line="560" w:lineRule="exact"/>
              <w:jc w:val="center"/>
              <w:textAlignment w:val="center"/>
              <w:rPr>
                <w:rFonts w:hint="default" w:ascii="Times New Roman" w:hAnsi="Times New Roman" w:eastAsia="仿宋_GB2312" w:cs="Times New Roman"/>
                <w:b/>
                <w:color w:val="000000"/>
                <w:kern w:val="0"/>
                <w:sz w:val="32"/>
                <w:szCs w:val="32"/>
                <w:highlight w:val="none"/>
                <w:lang w:bidi="ar"/>
              </w:rPr>
            </w:pPr>
          </w:p>
          <w:p w14:paraId="17724952">
            <w:pPr>
              <w:pageBreakBefore w:val="0"/>
              <w:widowControl/>
              <w:shd w:val="clear" w:color="auto" w:fill="auto"/>
              <w:kinsoku/>
              <w:wordWrap/>
              <w:overflowPunct/>
              <w:topLinePunct w:val="0"/>
              <w:bidi w:val="0"/>
              <w:spacing w:line="560" w:lineRule="exact"/>
              <w:jc w:val="center"/>
              <w:textAlignment w:val="center"/>
              <w:rPr>
                <w:rFonts w:hint="default" w:ascii="Times New Roman" w:hAnsi="Times New Roman" w:eastAsia="仿宋_GB2312" w:cs="Times New Roman"/>
                <w:b/>
                <w:color w:val="000000"/>
                <w:kern w:val="0"/>
                <w:sz w:val="32"/>
                <w:szCs w:val="32"/>
                <w:highlight w:val="none"/>
                <w:lang w:bidi="ar"/>
              </w:rPr>
            </w:pPr>
          </w:p>
        </w:tc>
      </w:tr>
      <w:tr w14:paraId="4CADABA9">
        <w:tblPrEx>
          <w:tblCellMar>
            <w:top w:w="15" w:type="dxa"/>
            <w:left w:w="15" w:type="dxa"/>
            <w:bottom w:w="15" w:type="dxa"/>
            <w:right w:w="15" w:type="dxa"/>
          </w:tblCellMar>
        </w:tblPrEx>
        <w:trPr>
          <w:trHeight w:val="2688"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6745F56F">
            <w:pPr>
              <w:pageBreakBefore w:val="0"/>
              <w:widowControl/>
              <w:shd w:val="clear" w:color="auto" w:fill="auto"/>
              <w:kinsoku/>
              <w:wordWrap/>
              <w:overflowPunct/>
              <w:topLinePunct w:val="0"/>
              <w:bidi w:val="0"/>
              <w:spacing w:line="560" w:lineRule="exact"/>
              <w:jc w:val="center"/>
              <w:textAlignment w:val="center"/>
              <w:rPr>
                <w:rFonts w:hint="default" w:ascii="Times New Roman" w:hAnsi="Times New Roman" w:eastAsia="仿宋_GB2312" w:cs="Times New Roman"/>
                <w:b/>
                <w:color w:val="000000"/>
                <w:kern w:val="0"/>
                <w:sz w:val="32"/>
                <w:szCs w:val="32"/>
                <w:highlight w:val="none"/>
                <w:lang w:bidi="ar"/>
              </w:rPr>
            </w:pPr>
            <w:r>
              <w:rPr>
                <w:rFonts w:hint="default" w:ascii="Times New Roman" w:hAnsi="Times New Roman" w:eastAsia="仿宋_GB2312" w:cs="Times New Roman"/>
                <w:b/>
                <w:color w:val="000000"/>
                <w:kern w:val="0"/>
                <w:sz w:val="32"/>
                <w:szCs w:val="32"/>
                <w:highlight w:val="none"/>
                <w:lang w:bidi="ar"/>
              </w:rPr>
              <w:t>报价</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11F38341">
            <w:pPr>
              <w:pageBreakBefore w:val="0"/>
              <w:widowControl/>
              <w:shd w:val="clear" w:color="auto" w:fill="auto"/>
              <w:kinsoku/>
              <w:wordWrap/>
              <w:overflowPunct/>
              <w:topLinePunct w:val="0"/>
              <w:bidi w:val="0"/>
              <w:spacing w:line="560" w:lineRule="exact"/>
              <w:jc w:val="both"/>
              <w:textAlignment w:val="center"/>
              <w:rPr>
                <w:rFonts w:hint="default" w:ascii="Times New Roman" w:hAnsi="Times New Roman" w:eastAsia="仿宋_GB2312" w:cs="Times New Roman"/>
                <w:b/>
                <w:color w:val="000000"/>
                <w:kern w:val="0"/>
                <w:sz w:val="32"/>
                <w:szCs w:val="32"/>
                <w:highlight w:val="none"/>
                <w:lang w:bidi="ar"/>
              </w:rPr>
            </w:pPr>
            <w:r>
              <w:rPr>
                <w:rFonts w:hint="default" w:ascii="Times New Roman" w:hAnsi="Times New Roman" w:eastAsia="仿宋_GB2312" w:cs="Times New Roman"/>
                <w:b/>
                <w:color w:val="000000"/>
                <w:kern w:val="0"/>
                <w:sz w:val="32"/>
                <w:szCs w:val="32"/>
                <w:highlight w:val="none"/>
                <w:lang w:bidi="ar"/>
              </w:rPr>
              <w:t xml:space="preserve">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eastAsia"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lang w:val="en-US" w:eastAsia="zh-CN"/>
              </w:rPr>
              <w:t>元（含税）</w:t>
            </w:r>
            <w:r>
              <w:rPr>
                <w:rFonts w:hint="eastAsia"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val="en-US" w:eastAsia="zh-CN"/>
              </w:rPr>
              <w:t>(其中</w:t>
            </w:r>
            <w:r>
              <w:rPr>
                <w:rFonts w:hint="eastAsia"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val="en-US" w:eastAsia="zh-CN"/>
              </w:rPr>
              <w:t>清洗板式换热器</w:t>
            </w:r>
            <w:r>
              <w:rPr>
                <w:rFonts w:hint="eastAsia"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lang w:val="en-US" w:eastAsia="zh-CN"/>
              </w:rPr>
              <w:t>万元/台，更换胶垫</w:t>
            </w:r>
            <w:r>
              <w:rPr>
                <w:rFonts w:hint="eastAsia"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lang w:val="en-US" w:eastAsia="zh-CN"/>
              </w:rPr>
              <w:t>元/片，更换板片</w:t>
            </w:r>
            <w:r>
              <w:rPr>
                <w:rFonts w:hint="eastAsia"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lang w:val="en-US" w:eastAsia="zh-CN"/>
              </w:rPr>
              <w:t>元/片)。</w:t>
            </w:r>
          </w:p>
        </w:tc>
      </w:tr>
    </w:tbl>
    <w:p w14:paraId="3B3E51B3">
      <w:pPr>
        <w:pageBreakBefore w:val="0"/>
        <w:shd w:val="clear" w:color="auto" w:fill="auto"/>
        <w:kinsoku/>
        <w:wordWrap/>
        <w:overflowPunct/>
        <w:topLinePunct w:val="0"/>
        <w:bidi w:val="0"/>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7F1264F7">
      <w:pPr>
        <w:pStyle w:val="2"/>
        <w:pageBreakBefore w:val="0"/>
        <w:kinsoku/>
        <w:wordWrap/>
        <w:overflowPunct/>
        <w:topLinePunct w:val="0"/>
        <w:bidi w:val="0"/>
        <w:spacing w:line="560" w:lineRule="exact"/>
        <w:ind w:firstLine="5461" w:firstLineChars="17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年    月    日</w:t>
      </w:r>
    </w:p>
    <w:p w14:paraId="33A72158">
      <w:pPr>
        <w:pageBreakBefore w:val="0"/>
        <w:kinsoku/>
        <w:wordWrap/>
        <w:overflowPunct/>
        <w:topLinePunct w:val="0"/>
        <w:bidi w:val="0"/>
        <w:spacing w:line="560" w:lineRule="exact"/>
        <w:rPr>
          <w:rFonts w:hint="default" w:ascii="Times New Roman" w:hAnsi="Times New Roman" w:cs="Times New Roman"/>
          <w:lang w:val="zh-CN"/>
        </w:rPr>
      </w:pPr>
      <w:r>
        <w:rPr>
          <w:rFonts w:hint="default" w:ascii="Times New Roman" w:hAnsi="Times New Roman" w:eastAsia="仿宋_GB2312" w:cs="Times New Roman"/>
          <w:sz w:val="32"/>
          <w:szCs w:val="32"/>
          <w:highlight w:val="none"/>
          <w:lang w:val="en-US" w:eastAsia="zh-CN"/>
        </w:rPr>
        <w:br w:type="page"/>
      </w:r>
    </w:p>
    <w:p w14:paraId="5A0BED1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附件</w:t>
      </w:r>
      <w:r>
        <w:rPr>
          <w:rFonts w:hint="default" w:ascii="Times New Roman" w:hAnsi="Times New Roman" w:eastAsia="仿宋_GB2312" w:cs="Times New Roman"/>
          <w:sz w:val="32"/>
          <w:szCs w:val="32"/>
          <w:highlight w:val="none"/>
          <w:lang w:val="en-US" w:eastAsia="zh-CN"/>
        </w:rPr>
        <w:t>2：</w:t>
      </w:r>
    </w:p>
    <w:p w14:paraId="0B3EC263">
      <w:pPr>
        <w:pStyle w:val="4"/>
        <w:pageBreakBefore w:val="0"/>
        <w:kinsoku/>
        <w:wordWrap/>
        <w:overflowPunct/>
        <w:topLinePunct w:val="0"/>
        <w:bidi w:val="0"/>
        <w:spacing w:line="560" w:lineRule="exact"/>
        <w:ind w:firstLine="0" w:firstLineChars="0"/>
        <w:contextualSpacing/>
        <w:jc w:val="center"/>
        <w:rPr>
          <w:rFonts w:hint="default" w:ascii="Times New Roman" w:hAnsi="Times New Roman" w:eastAsia="方正小标宋简体" w:cs="Times New Roman"/>
          <w:b w:val="0"/>
          <w:bCs/>
          <w:sz w:val="44"/>
          <w:szCs w:val="44"/>
          <w:highlight w:val="none"/>
          <w:lang w:val="zh-CN"/>
        </w:rPr>
      </w:pPr>
      <w:r>
        <w:rPr>
          <w:rFonts w:hint="default" w:ascii="Times New Roman" w:hAnsi="Times New Roman" w:eastAsia="方正小标宋简体" w:cs="Times New Roman"/>
          <w:b w:val="0"/>
          <w:bCs/>
          <w:sz w:val="44"/>
          <w:szCs w:val="44"/>
          <w:highlight w:val="none"/>
          <w:lang w:val="zh-CN"/>
        </w:rPr>
        <w:t>评标标准</w:t>
      </w:r>
    </w:p>
    <w:p w14:paraId="18BB29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一、资格审查</w:t>
      </w:r>
    </w:p>
    <w:p w14:paraId="13849D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FF0000"/>
          <w:sz w:val="32"/>
          <w:szCs w:val="32"/>
          <w:highlight w:val="none"/>
          <w:lang w:val="zh-CN" w:eastAsia="zh-CN"/>
        </w:rPr>
      </w:pPr>
      <w:r>
        <w:rPr>
          <w:rFonts w:hint="default" w:ascii="Times New Roman" w:hAnsi="Times New Roman" w:eastAsia="仿宋_GB2312" w:cs="Times New Roman"/>
          <w:sz w:val="32"/>
          <w:szCs w:val="32"/>
          <w:highlight w:val="none"/>
          <w:lang w:eastAsia="zh-CN"/>
        </w:rPr>
        <w:t>评审小组对</w:t>
      </w:r>
      <w:r>
        <w:rPr>
          <w:rFonts w:hint="default" w:ascii="Times New Roman" w:hAnsi="Times New Roman" w:eastAsia="仿宋_GB2312" w:cs="Times New Roman"/>
          <w:sz w:val="32"/>
          <w:szCs w:val="32"/>
          <w:highlight w:val="none"/>
          <w:lang w:val="en-US" w:eastAsia="zh-CN"/>
        </w:rPr>
        <w:t>申请</w:t>
      </w:r>
      <w:r>
        <w:rPr>
          <w:rFonts w:hint="default" w:ascii="Times New Roman" w:hAnsi="Times New Roman" w:eastAsia="仿宋_GB2312" w:cs="Times New Roman"/>
          <w:sz w:val="32"/>
          <w:szCs w:val="32"/>
          <w:highlight w:val="none"/>
          <w:lang w:eastAsia="zh-CN"/>
        </w:rPr>
        <w:t>人资格进行检查。</w:t>
      </w:r>
      <w:r>
        <w:rPr>
          <w:rFonts w:hint="default" w:ascii="Times New Roman" w:hAnsi="Times New Roman" w:eastAsia="仿宋_GB2312" w:cs="Times New Roman"/>
          <w:sz w:val="32"/>
          <w:szCs w:val="32"/>
          <w:highlight w:val="none"/>
          <w:lang w:val="zh-CN" w:eastAsia="zh-CN"/>
        </w:rPr>
        <w:t>确定符合资格的</w:t>
      </w:r>
      <w:r>
        <w:rPr>
          <w:rFonts w:hint="default" w:ascii="Times New Roman" w:hAnsi="Times New Roman" w:eastAsia="仿宋_GB2312" w:cs="Times New Roman"/>
          <w:sz w:val="32"/>
          <w:szCs w:val="32"/>
          <w:highlight w:val="none"/>
          <w:lang w:val="en-US" w:eastAsia="zh-CN"/>
        </w:rPr>
        <w:t>申请</w:t>
      </w:r>
      <w:r>
        <w:rPr>
          <w:rFonts w:hint="default" w:ascii="Times New Roman" w:hAnsi="Times New Roman" w:eastAsia="仿宋_GB2312" w:cs="Times New Roman"/>
          <w:sz w:val="32"/>
          <w:szCs w:val="32"/>
          <w:highlight w:val="none"/>
          <w:lang w:val="zh-CN" w:eastAsia="zh-CN"/>
        </w:rPr>
        <w:t>人不少于3</w:t>
      </w:r>
      <w:r>
        <w:rPr>
          <w:rFonts w:hint="default" w:ascii="Times New Roman" w:hAnsi="Times New Roman" w:eastAsia="仿宋_GB2312" w:cs="Times New Roman"/>
          <w:color w:val="auto"/>
          <w:sz w:val="32"/>
          <w:szCs w:val="32"/>
          <w:highlight w:val="none"/>
          <w:lang w:val="zh-CN" w:eastAsia="zh-CN"/>
        </w:rPr>
        <w:t>家后对投标文件进行符合性审查，</w:t>
      </w:r>
      <w:r>
        <w:rPr>
          <w:rFonts w:hint="default" w:ascii="Times New Roman" w:hAnsi="Times New Roman" w:eastAsia="仿宋_GB2312" w:cs="Times New Roman"/>
          <w:color w:val="auto"/>
          <w:sz w:val="32"/>
          <w:szCs w:val="32"/>
          <w:highlight w:val="none"/>
          <w:lang w:val="en-US" w:eastAsia="zh-CN"/>
        </w:rPr>
        <w:t>少于三家则本次评标过程无效</w:t>
      </w:r>
      <w:r>
        <w:rPr>
          <w:rFonts w:hint="default" w:ascii="Times New Roman" w:hAnsi="Times New Roman" w:eastAsia="仿宋_GB2312" w:cs="Times New Roman"/>
          <w:color w:val="auto"/>
          <w:sz w:val="32"/>
          <w:szCs w:val="32"/>
          <w:highlight w:val="none"/>
          <w:lang w:val="zh-CN" w:eastAsia="zh-CN"/>
        </w:rPr>
        <w:t>。</w:t>
      </w:r>
    </w:p>
    <w:p w14:paraId="7BF025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二、评审</w:t>
      </w:r>
    </w:p>
    <w:p w14:paraId="289B4C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（一）评审方法</w:t>
      </w:r>
    </w:p>
    <w:p w14:paraId="5273775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本项目采用综合评分法。总分为 100 分。</w:t>
      </w:r>
    </w:p>
    <w:p w14:paraId="67AECD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highlight w:val="none"/>
          <w:lang w:val="zh-CN" w:eastAsia="zh-CN"/>
        </w:rPr>
      </w:pPr>
      <w:r>
        <w:rPr>
          <w:rFonts w:hint="default" w:ascii="Times New Roman" w:hAnsi="Times New Roman" w:eastAsia="仿宋_GB2312" w:cs="Times New Roman"/>
          <w:b/>
          <w:bCs/>
          <w:color w:val="auto"/>
          <w:sz w:val="32"/>
          <w:szCs w:val="32"/>
          <w:highlight w:val="none"/>
          <w:lang w:val="zh-CN" w:eastAsia="zh-CN"/>
        </w:rPr>
        <w:t>（二）评分办法</w:t>
      </w:r>
    </w:p>
    <w:tbl>
      <w:tblPr>
        <w:tblStyle w:val="5"/>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1B06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2913" w:type="dxa"/>
            <w:vAlign w:val="center"/>
          </w:tcPr>
          <w:p w14:paraId="76090482">
            <w:pPr>
              <w:tabs>
                <w:tab w:val="left" w:pos="1260"/>
              </w:tabs>
              <w:autoSpaceDE w:val="0"/>
              <w:autoSpaceDN w:val="0"/>
              <w:adjustRightInd w:val="0"/>
              <w:snapToGrid w:val="0"/>
              <w:spacing w:line="520" w:lineRule="exact"/>
              <w:jc w:val="center"/>
              <w:rPr>
                <w:rFonts w:ascii="仿宋" w:hAnsi="仿宋" w:eastAsia="仿宋" w:cs="仿宋"/>
                <w:sz w:val="32"/>
                <w:szCs w:val="32"/>
                <w:lang w:val="zh-CN"/>
              </w:rPr>
            </w:pPr>
            <w:r>
              <w:rPr>
                <w:rFonts w:hint="eastAsia" w:ascii="仿宋" w:hAnsi="仿宋" w:eastAsia="仿宋" w:cs="仿宋"/>
                <w:sz w:val="32"/>
                <w:szCs w:val="32"/>
                <w:lang w:val="zh-CN"/>
              </w:rPr>
              <w:t>分值构成</w:t>
            </w:r>
          </w:p>
          <w:p w14:paraId="7CE321E6">
            <w:pPr>
              <w:tabs>
                <w:tab w:val="left" w:pos="1260"/>
              </w:tabs>
              <w:autoSpaceDE w:val="0"/>
              <w:autoSpaceDN w:val="0"/>
              <w:adjustRightInd w:val="0"/>
              <w:snapToGrid w:val="0"/>
              <w:spacing w:line="520" w:lineRule="exact"/>
              <w:jc w:val="center"/>
              <w:rPr>
                <w:rFonts w:ascii="仿宋" w:hAnsi="仿宋" w:eastAsia="仿宋" w:cs="仿宋"/>
                <w:sz w:val="32"/>
                <w:szCs w:val="32"/>
                <w:lang w:val="zh-CN"/>
              </w:rPr>
            </w:pPr>
            <w:r>
              <w:rPr>
                <w:rFonts w:hint="eastAsia" w:ascii="仿宋" w:hAnsi="仿宋" w:eastAsia="仿宋" w:cs="仿宋"/>
                <w:sz w:val="32"/>
                <w:szCs w:val="32"/>
                <w:lang w:val="zh-CN"/>
              </w:rPr>
              <w:t>(总分100分)</w:t>
            </w:r>
          </w:p>
        </w:tc>
        <w:tc>
          <w:tcPr>
            <w:tcW w:w="6786" w:type="dxa"/>
            <w:vAlign w:val="center"/>
          </w:tcPr>
          <w:p w14:paraId="12497369">
            <w:pPr>
              <w:tabs>
                <w:tab w:val="left" w:pos="1260"/>
              </w:tabs>
              <w:autoSpaceDE w:val="0"/>
              <w:autoSpaceDN w:val="0"/>
              <w:adjustRightInd w:val="0"/>
              <w:snapToGrid w:val="0"/>
              <w:spacing w:line="520" w:lineRule="exact"/>
              <w:jc w:val="left"/>
              <w:rPr>
                <w:rFonts w:ascii="仿宋" w:hAnsi="仿宋" w:eastAsia="仿宋" w:cs="仿宋"/>
                <w:sz w:val="32"/>
                <w:szCs w:val="32"/>
                <w:lang w:val="zh-CN"/>
              </w:rPr>
            </w:pPr>
            <w:r>
              <w:rPr>
                <w:rFonts w:hint="eastAsia" w:ascii="仿宋" w:hAnsi="仿宋" w:eastAsia="仿宋" w:cs="仿宋"/>
                <w:sz w:val="32"/>
                <w:szCs w:val="32"/>
              </w:rPr>
              <w:t>企业报价</w:t>
            </w:r>
            <w:r>
              <w:rPr>
                <w:rFonts w:hint="eastAsia" w:ascii="仿宋" w:hAnsi="仿宋" w:eastAsia="仿宋" w:cs="仿宋"/>
                <w:sz w:val="32"/>
                <w:szCs w:val="32"/>
                <w:lang w:val="zh-CN"/>
              </w:rPr>
              <w:t>：</w:t>
            </w:r>
            <w:r>
              <w:rPr>
                <w:rFonts w:hint="eastAsia" w:ascii="仿宋" w:hAnsi="仿宋" w:eastAsia="仿宋" w:cs="仿宋"/>
                <w:sz w:val="32"/>
                <w:szCs w:val="32"/>
                <w:u w:val="single"/>
                <w:lang w:val="en-US" w:eastAsia="zh-CN"/>
              </w:rPr>
              <w:t>3</w:t>
            </w:r>
            <w:r>
              <w:rPr>
                <w:rFonts w:hint="eastAsia" w:ascii="仿宋" w:hAnsi="仿宋" w:eastAsia="仿宋" w:cs="仿宋"/>
                <w:sz w:val="32"/>
                <w:szCs w:val="32"/>
                <w:u w:val="single"/>
              </w:rPr>
              <w:t>0</w:t>
            </w:r>
            <w:r>
              <w:rPr>
                <w:rFonts w:hint="eastAsia" w:ascii="仿宋" w:hAnsi="仿宋" w:eastAsia="仿宋" w:cs="仿宋"/>
                <w:sz w:val="32"/>
                <w:szCs w:val="32"/>
                <w:u w:val="single"/>
                <w:lang w:val="zh-CN"/>
              </w:rPr>
              <w:t>分</w:t>
            </w:r>
          </w:p>
          <w:p w14:paraId="1950A4F5">
            <w:pPr>
              <w:tabs>
                <w:tab w:val="left" w:pos="1260"/>
              </w:tabs>
              <w:autoSpaceDE w:val="0"/>
              <w:autoSpaceDN w:val="0"/>
              <w:adjustRightInd w:val="0"/>
              <w:snapToGrid w:val="0"/>
              <w:spacing w:line="520" w:lineRule="exact"/>
              <w:jc w:val="left"/>
              <w:rPr>
                <w:rFonts w:ascii="仿宋" w:hAnsi="仿宋" w:eastAsia="仿宋" w:cs="仿宋"/>
                <w:sz w:val="32"/>
                <w:szCs w:val="32"/>
                <w:u w:val="single"/>
                <w:lang w:val="zh-CN"/>
              </w:rPr>
            </w:pPr>
            <w:r>
              <w:rPr>
                <w:rFonts w:hint="eastAsia" w:ascii="仿宋" w:hAnsi="仿宋" w:eastAsia="仿宋" w:cs="仿宋"/>
                <w:sz w:val="32"/>
                <w:szCs w:val="32"/>
              </w:rPr>
              <w:t>企业业绩</w:t>
            </w:r>
            <w:r>
              <w:rPr>
                <w:rFonts w:hint="eastAsia" w:ascii="仿宋" w:hAnsi="仿宋" w:eastAsia="仿宋" w:cs="仿宋"/>
                <w:sz w:val="32"/>
                <w:szCs w:val="32"/>
                <w:lang w:val="zh-CN"/>
              </w:rPr>
              <w:t>：</w:t>
            </w:r>
            <w:r>
              <w:rPr>
                <w:rFonts w:hint="eastAsia" w:ascii="仿宋" w:hAnsi="仿宋" w:eastAsia="仿宋" w:cs="仿宋"/>
                <w:sz w:val="32"/>
                <w:szCs w:val="32"/>
                <w:u w:val="single"/>
                <w:lang w:val="en-US" w:eastAsia="zh-CN"/>
              </w:rPr>
              <w:t>3</w:t>
            </w:r>
            <w:r>
              <w:rPr>
                <w:rFonts w:hint="eastAsia" w:ascii="仿宋" w:hAnsi="仿宋" w:eastAsia="仿宋" w:cs="仿宋"/>
                <w:sz w:val="32"/>
                <w:szCs w:val="32"/>
                <w:u w:val="single"/>
              </w:rPr>
              <w:t>0</w:t>
            </w:r>
            <w:r>
              <w:rPr>
                <w:rFonts w:hint="eastAsia" w:ascii="仿宋" w:hAnsi="仿宋" w:eastAsia="仿宋" w:cs="仿宋"/>
                <w:sz w:val="32"/>
                <w:szCs w:val="32"/>
                <w:u w:val="single"/>
                <w:lang w:val="zh-CN"/>
              </w:rPr>
              <w:t>分</w:t>
            </w:r>
          </w:p>
          <w:p w14:paraId="6926BA5F">
            <w:pPr>
              <w:tabs>
                <w:tab w:val="left" w:pos="1260"/>
              </w:tabs>
              <w:autoSpaceDE w:val="0"/>
              <w:autoSpaceDN w:val="0"/>
              <w:adjustRightInd w:val="0"/>
              <w:snapToGrid w:val="0"/>
              <w:spacing w:line="520" w:lineRule="exact"/>
              <w:jc w:val="left"/>
              <w:rPr>
                <w:rFonts w:ascii="仿宋" w:hAnsi="仿宋" w:eastAsia="仿宋" w:cs="仿宋"/>
                <w:sz w:val="32"/>
                <w:szCs w:val="32"/>
                <w:u w:val="single"/>
                <w:lang w:val="zh-CN"/>
              </w:rPr>
            </w:pPr>
            <w:r>
              <w:rPr>
                <w:rFonts w:hint="eastAsia" w:ascii="仿宋_GB2312" w:hAnsi="仿宋_GB2312" w:eastAsia="仿宋_GB2312" w:cs="仿宋_GB2312"/>
                <w:color w:val="auto"/>
                <w:sz w:val="32"/>
                <w:szCs w:val="32"/>
              </w:rPr>
              <w:t>清洗方案</w:t>
            </w:r>
            <w:r>
              <w:rPr>
                <w:rFonts w:hint="eastAsia" w:ascii="仿宋" w:hAnsi="仿宋" w:eastAsia="仿宋" w:cs="仿宋"/>
                <w:sz w:val="32"/>
                <w:szCs w:val="32"/>
                <w:lang w:val="zh-CN"/>
              </w:rPr>
              <w:t>：</w:t>
            </w:r>
            <w:r>
              <w:rPr>
                <w:rFonts w:hint="eastAsia" w:ascii="仿宋" w:hAnsi="仿宋" w:eastAsia="仿宋" w:cs="仿宋"/>
                <w:sz w:val="32"/>
                <w:szCs w:val="32"/>
                <w:u w:val="single"/>
                <w:lang w:val="en-US" w:eastAsia="zh-CN"/>
              </w:rPr>
              <w:t>3</w:t>
            </w:r>
            <w:r>
              <w:rPr>
                <w:rFonts w:hint="eastAsia" w:ascii="仿宋" w:hAnsi="仿宋" w:eastAsia="仿宋" w:cs="仿宋"/>
                <w:sz w:val="32"/>
                <w:szCs w:val="32"/>
                <w:u w:val="single"/>
              </w:rPr>
              <w:t>0</w:t>
            </w:r>
            <w:r>
              <w:rPr>
                <w:rFonts w:hint="eastAsia" w:ascii="仿宋" w:hAnsi="仿宋" w:eastAsia="仿宋" w:cs="仿宋"/>
                <w:sz w:val="32"/>
                <w:szCs w:val="32"/>
                <w:u w:val="single"/>
                <w:lang w:val="zh-CN"/>
              </w:rPr>
              <w:t>分</w:t>
            </w:r>
          </w:p>
          <w:p w14:paraId="1E74DF89">
            <w:pPr>
              <w:tabs>
                <w:tab w:val="left" w:pos="1260"/>
              </w:tabs>
              <w:autoSpaceDE w:val="0"/>
              <w:autoSpaceDN w:val="0"/>
              <w:adjustRightInd w:val="0"/>
              <w:snapToGrid w:val="0"/>
              <w:spacing w:line="520" w:lineRule="exact"/>
              <w:jc w:val="left"/>
              <w:rPr>
                <w:rFonts w:ascii="仿宋" w:hAnsi="仿宋" w:eastAsia="仿宋" w:cs="仿宋"/>
                <w:sz w:val="32"/>
                <w:szCs w:val="32"/>
              </w:rPr>
            </w:pPr>
            <w:r>
              <w:rPr>
                <w:rFonts w:hint="eastAsia" w:ascii="仿宋" w:hAnsi="仿宋" w:eastAsia="仿宋" w:cs="仿宋"/>
                <w:sz w:val="32"/>
                <w:szCs w:val="32"/>
              </w:rPr>
              <w:t>延伸服务</w:t>
            </w:r>
            <w:r>
              <w:rPr>
                <w:rFonts w:hint="eastAsia" w:ascii="仿宋" w:hAnsi="仿宋" w:eastAsia="仿宋" w:cs="仿宋"/>
                <w:sz w:val="32"/>
                <w:szCs w:val="32"/>
                <w:lang w:val="zh-CN"/>
              </w:rPr>
              <w:t>：</w:t>
            </w:r>
            <w:r>
              <w:rPr>
                <w:rFonts w:hint="eastAsia" w:ascii="仿宋" w:hAnsi="仿宋" w:eastAsia="仿宋" w:cs="仿宋"/>
                <w:sz w:val="32"/>
                <w:szCs w:val="32"/>
                <w:u w:val="single"/>
                <w:lang w:val="en-US" w:eastAsia="zh-CN"/>
              </w:rPr>
              <w:t>1</w:t>
            </w:r>
            <w:r>
              <w:rPr>
                <w:rFonts w:hint="eastAsia" w:ascii="仿宋" w:hAnsi="仿宋" w:eastAsia="仿宋" w:cs="仿宋"/>
                <w:sz w:val="32"/>
                <w:szCs w:val="32"/>
                <w:u w:val="single"/>
              </w:rPr>
              <w:t>0分</w:t>
            </w:r>
          </w:p>
        </w:tc>
      </w:tr>
      <w:tr w14:paraId="75FF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7C399B02">
            <w:pPr>
              <w:spacing w:line="520" w:lineRule="exact"/>
              <w:jc w:val="center"/>
              <w:rPr>
                <w:rFonts w:ascii="仿宋" w:hAnsi="仿宋" w:eastAsia="仿宋" w:cs="仿宋"/>
                <w:sz w:val="32"/>
                <w:szCs w:val="32"/>
                <w:lang w:val="zh-CN"/>
              </w:rPr>
            </w:pPr>
            <w:r>
              <w:rPr>
                <w:rFonts w:hint="eastAsia" w:ascii="仿宋" w:hAnsi="仿宋" w:eastAsia="仿宋" w:cs="仿宋"/>
                <w:sz w:val="32"/>
                <w:szCs w:val="32"/>
                <w:lang w:val="zh-CN"/>
              </w:rPr>
              <w:t>评审项</w:t>
            </w:r>
          </w:p>
        </w:tc>
        <w:tc>
          <w:tcPr>
            <w:tcW w:w="6786" w:type="dxa"/>
            <w:tcMar>
              <w:top w:w="0" w:type="dxa"/>
              <w:left w:w="0" w:type="dxa"/>
              <w:bottom w:w="0" w:type="dxa"/>
              <w:right w:w="0" w:type="dxa"/>
            </w:tcMar>
            <w:vAlign w:val="center"/>
          </w:tcPr>
          <w:p w14:paraId="6EDFE87F">
            <w:pPr>
              <w:spacing w:line="520" w:lineRule="exact"/>
              <w:jc w:val="center"/>
              <w:rPr>
                <w:rFonts w:ascii="仿宋" w:hAnsi="仿宋" w:eastAsia="仿宋" w:cs="仿宋"/>
                <w:sz w:val="32"/>
                <w:szCs w:val="32"/>
                <w:lang w:val="zh-CN"/>
              </w:rPr>
            </w:pPr>
            <w:r>
              <w:rPr>
                <w:rFonts w:hint="eastAsia" w:ascii="仿宋" w:hAnsi="仿宋" w:eastAsia="仿宋" w:cs="仿宋"/>
                <w:sz w:val="32"/>
                <w:szCs w:val="32"/>
                <w:lang w:val="zh-CN"/>
              </w:rPr>
              <w:t>评标标准</w:t>
            </w:r>
          </w:p>
        </w:tc>
      </w:tr>
      <w:tr w14:paraId="11D4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43FA7670">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企业报价</w:t>
            </w:r>
          </w:p>
          <w:p w14:paraId="0D0709B3">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0分）</w:t>
            </w:r>
          </w:p>
        </w:tc>
        <w:tc>
          <w:tcPr>
            <w:tcW w:w="6786" w:type="dxa"/>
            <w:tcMar>
              <w:top w:w="0" w:type="dxa"/>
              <w:left w:w="0" w:type="dxa"/>
              <w:bottom w:w="0" w:type="dxa"/>
              <w:right w:w="0" w:type="dxa"/>
            </w:tcMar>
            <w:vAlign w:val="center"/>
          </w:tcPr>
          <w:p w14:paraId="53999664">
            <w:pPr>
              <w:widowControl/>
              <w:adjustRightInd w:val="0"/>
              <w:snapToGrid w:val="0"/>
              <w:spacing w:line="48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投标报价得分=（基准价/</w:t>
            </w:r>
            <w:r>
              <w:rPr>
                <w:rFonts w:hint="eastAsia" w:ascii="仿宋" w:hAnsi="仿宋" w:eastAsia="仿宋" w:cs="仿宋"/>
                <w:sz w:val="32"/>
                <w:szCs w:val="32"/>
              </w:rPr>
              <w:t>企业</w:t>
            </w:r>
            <w:r>
              <w:rPr>
                <w:rFonts w:hint="eastAsia" w:ascii="仿宋" w:hAnsi="仿宋" w:eastAsia="仿宋" w:cs="仿宋"/>
                <w:sz w:val="32"/>
                <w:szCs w:val="32"/>
                <w:lang w:val="zh-CN"/>
              </w:rPr>
              <w:t>报价）×</w:t>
            </w:r>
            <w:r>
              <w:rPr>
                <w:rFonts w:hint="eastAsia" w:ascii="仿宋" w:hAnsi="仿宋" w:eastAsia="仿宋" w:cs="仿宋"/>
                <w:sz w:val="32"/>
                <w:szCs w:val="32"/>
                <w:lang w:val="en-US" w:eastAsia="zh-CN"/>
              </w:rPr>
              <w:t>3</w:t>
            </w:r>
            <w:r>
              <w:rPr>
                <w:rFonts w:hint="eastAsia" w:ascii="仿宋" w:hAnsi="仿宋" w:eastAsia="仿宋" w:cs="仿宋"/>
                <w:sz w:val="32"/>
                <w:szCs w:val="32"/>
              </w:rPr>
              <w:t>0</w:t>
            </w:r>
            <w:r>
              <w:rPr>
                <w:rFonts w:hint="eastAsia" w:ascii="仿宋" w:hAnsi="仿宋" w:eastAsia="仿宋" w:cs="仿宋"/>
                <w:sz w:val="32"/>
                <w:szCs w:val="32"/>
                <w:lang w:val="zh-CN"/>
              </w:rPr>
              <w:t>分。满足招标文件要求的</w:t>
            </w:r>
            <w:r>
              <w:rPr>
                <w:rFonts w:hint="eastAsia" w:ascii="仿宋" w:hAnsi="仿宋" w:eastAsia="仿宋" w:cs="仿宋"/>
                <w:sz w:val="32"/>
                <w:szCs w:val="32"/>
              </w:rPr>
              <w:t>所</w:t>
            </w:r>
            <w:r>
              <w:rPr>
                <w:rFonts w:hint="eastAsia" w:ascii="仿宋" w:hAnsi="仿宋" w:eastAsia="仿宋" w:cs="仿宋"/>
                <w:sz w:val="32"/>
                <w:szCs w:val="32"/>
                <w:lang w:val="zh-CN"/>
              </w:rPr>
              <w:t>有</w:t>
            </w:r>
            <w:r>
              <w:rPr>
                <w:rFonts w:hint="eastAsia" w:ascii="仿宋" w:hAnsi="仿宋" w:eastAsia="仿宋" w:cs="仿宋"/>
                <w:sz w:val="32"/>
                <w:szCs w:val="32"/>
              </w:rPr>
              <w:t>有</w:t>
            </w:r>
            <w:r>
              <w:rPr>
                <w:rFonts w:hint="eastAsia" w:ascii="仿宋" w:hAnsi="仿宋" w:eastAsia="仿宋" w:cs="仿宋"/>
                <w:sz w:val="32"/>
                <w:szCs w:val="32"/>
                <w:lang w:val="zh-CN"/>
              </w:rPr>
              <w:t>效投标报价中，最低的投标报价为评标基准价。投标报价</w:t>
            </w:r>
            <w:r>
              <w:rPr>
                <w:rFonts w:hint="eastAsia" w:ascii="仿宋_GB2312" w:hAnsi="仿宋_GB2312" w:eastAsia="仿宋_GB2312" w:cs="仿宋_GB2312"/>
                <w:kern w:val="2"/>
                <w:sz w:val="32"/>
                <w:szCs w:val="32"/>
                <w:highlight w:val="none"/>
                <w:lang w:val="en-US" w:eastAsia="zh-CN" w:bidi="ar-SA"/>
              </w:rPr>
              <w:t>高于39.98万元，为无效报价。</w:t>
            </w:r>
          </w:p>
        </w:tc>
      </w:tr>
      <w:tr w14:paraId="6CBE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jc w:val="center"/>
        </w:trPr>
        <w:tc>
          <w:tcPr>
            <w:tcW w:w="2913" w:type="dxa"/>
            <w:tcMar>
              <w:top w:w="0" w:type="dxa"/>
              <w:left w:w="0" w:type="dxa"/>
              <w:bottom w:w="0" w:type="dxa"/>
              <w:right w:w="0" w:type="dxa"/>
            </w:tcMar>
            <w:vAlign w:val="center"/>
          </w:tcPr>
          <w:p w14:paraId="0014F3FF">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企业业绩</w:t>
            </w:r>
          </w:p>
          <w:p w14:paraId="1797DF25">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0分）</w:t>
            </w:r>
          </w:p>
        </w:tc>
        <w:tc>
          <w:tcPr>
            <w:tcW w:w="6786" w:type="dxa"/>
            <w:tcMar>
              <w:top w:w="0" w:type="dxa"/>
              <w:left w:w="0" w:type="dxa"/>
              <w:bottom w:w="0" w:type="dxa"/>
              <w:right w:w="0" w:type="dxa"/>
            </w:tcMar>
            <w:vAlign w:val="center"/>
          </w:tcPr>
          <w:p w14:paraId="0073599A">
            <w:pPr>
              <w:widowControl/>
              <w:adjustRightInd w:val="0"/>
              <w:snapToGrid w:val="0"/>
              <w:spacing w:line="52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企业业绩</w:t>
            </w:r>
            <w:r>
              <w:rPr>
                <w:rFonts w:hint="eastAsia" w:ascii="仿宋" w:hAnsi="仿宋" w:eastAsia="仿宋" w:cs="仿宋"/>
                <w:sz w:val="32"/>
                <w:szCs w:val="32"/>
                <w:lang w:val="en-US" w:eastAsia="zh-CN"/>
              </w:rPr>
              <w:t>3</w:t>
            </w:r>
            <w:r>
              <w:rPr>
                <w:rFonts w:hint="eastAsia" w:ascii="仿宋" w:hAnsi="仿宋" w:eastAsia="仿宋" w:cs="仿宋"/>
                <w:sz w:val="32"/>
                <w:szCs w:val="32"/>
              </w:rPr>
              <w:t>0分。企业每提供一项2021年1月1日以来签订的大型板式换热器清洗的业绩</w:t>
            </w:r>
            <w:r>
              <w:rPr>
                <w:rFonts w:hint="eastAsia" w:ascii="仿宋" w:hAnsi="仿宋" w:eastAsia="仿宋" w:cs="仿宋"/>
                <w:sz w:val="32"/>
                <w:szCs w:val="32"/>
                <w:lang w:eastAsia="zh-CN"/>
              </w:rPr>
              <w:t>合同</w:t>
            </w:r>
            <w:r>
              <w:rPr>
                <w:rFonts w:hint="eastAsia" w:ascii="仿宋" w:hAnsi="仿宋" w:eastAsia="仿宋" w:cs="仿宋"/>
                <w:sz w:val="32"/>
                <w:szCs w:val="32"/>
              </w:rPr>
              <w:t>，可得6分，本项最高得30分。（需提供相关合同复印件加盖公章，日期以合同签订日期为准）</w:t>
            </w:r>
          </w:p>
        </w:tc>
      </w:tr>
      <w:tr w14:paraId="5058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jc w:val="center"/>
        </w:trPr>
        <w:tc>
          <w:tcPr>
            <w:tcW w:w="2913" w:type="dxa"/>
            <w:tcMar>
              <w:top w:w="0" w:type="dxa"/>
              <w:left w:w="0" w:type="dxa"/>
              <w:bottom w:w="0" w:type="dxa"/>
              <w:right w:w="0" w:type="dxa"/>
            </w:tcMar>
            <w:vAlign w:val="center"/>
          </w:tcPr>
          <w:p w14:paraId="37B11F66">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清洗方案</w:t>
            </w:r>
          </w:p>
          <w:p w14:paraId="7B433A77">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（30分）</w:t>
            </w:r>
          </w:p>
        </w:tc>
        <w:tc>
          <w:tcPr>
            <w:tcW w:w="6786" w:type="dxa"/>
            <w:tcMar>
              <w:top w:w="0" w:type="dxa"/>
              <w:left w:w="0" w:type="dxa"/>
              <w:bottom w:w="0" w:type="dxa"/>
              <w:right w:w="0" w:type="dxa"/>
            </w:tcMar>
            <w:vAlign w:val="center"/>
          </w:tcPr>
          <w:p w14:paraId="7DF967FA">
            <w:pPr>
              <w:spacing w:line="520" w:lineRule="exact"/>
              <w:ind w:firstLine="640" w:firstLineChars="200"/>
              <w:rPr>
                <w:rFonts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技术</w:t>
            </w:r>
            <w:r>
              <w:rPr>
                <w:rFonts w:ascii="Times New Roman" w:hAnsi="Times New Roman" w:eastAsia="仿宋_GB2312" w:cs="Times New Roman"/>
                <w:color w:val="auto"/>
                <w:sz w:val="32"/>
                <w:szCs w:val="32"/>
              </w:rPr>
              <w:t>方案（1</w:t>
            </w:r>
            <w:r>
              <w:rPr>
                <w:rFonts w:hint="eastAsia"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rPr>
              <w:t>分）：根据企业对</w:t>
            </w:r>
            <w:r>
              <w:rPr>
                <w:rFonts w:hint="eastAsia" w:ascii="Times New Roman" w:hAnsi="Times New Roman" w:eastAsia="仿宋_GB2312" w:cs="Times New Roman"/>
                <w:color w:val="auto"/>
                <w:sz w:val="32"/>
                <w:szCs w:val="32"/>
              </w:rPr>
              <w:t>隔压换热站</w:t>
            </w:r>
            <w:r>
              <w:rPr>
                <w:rFonts w:ascii="Times New Roman" w:hAnsi="Times New Roman" w:eastAsia="仿宋_GB2312" w:cs="Times New Roman"/>
                <w:color w:val="auto"/>
                <w:sz w:val="32"/>
                <w:szCs w:val="32"/>
              </w:rPr>
              <w:t>所用板式换热器的结构和技术参数的掌握精准程度，以及拆洗方案的针对性、可行性、全面性进行评分。优秀</w:t>
            </w:r>
            <w:r>
              <w:rPr>
                <w:rFonts w:hint="eastAsia" w:ascii="Times New Roman" w:hAnsi="Times New Roman" w:eastAsia="仿宋_GB2312" w:cs="Times New Roman"/>
                <w:color w:val="auto"/>
                <w:sz w:val="32"/>
                <w:szCs w:val="32"/>
              </w:rPr>
              <w:t>8</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15</w:t>
            </w:r>
            <w:r>
              <w:rPr>
                <w:rFonts w:ascii="Times New Roman" w:hAnsi="Times New Roman" w:eastAsia="仿宋_GB2312" w:cs="Times New Roman"/>
                <w:color w:val="auto"/>
                <w:sz w:val="32"/>
                <w:szCs w:val="32"/>
              </w:rPr>
              <w:t>分；良好1-</w:t>
            </w:r>
            <w:r>
              <w:rPr>
                <w:rFonts w:hint="eastAsia" w:ascii="Times New Roman" w:hAnsi="Times New Roman" w:eastAsia="仿宋_GB2312" w:cs="Times New Roman"/>
                <w:color w:val="auto"/>
                <w:sz w:val="32"/>
                <w:szCs w:val="32"/>
              </w:rPr>
              <w:t>7</w:t>
            </w:r>
            <w:r>
              <w:rPr>
                <w:rFonts w:ascii="Times New Roman" w:hAnsi="Times New Roman" w:eastAsia="仿宋_GB2312" w:cs="Times New Roman"/>
                <w:color w:val="auto"/>
                <w:sz w:val="32"/>
                <w:szCs w:val="32"/>
              </w:rPr>
              <w:t>分；没有不得分。</w:t>
            </w:r>
          </w:p>
          <w:p w14:paraId="0FAECF0B">
            <w:pPr>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保障措施（1</w:t>
            </w:r>
            <w:r>
              <w:rPr>
                <w:rFonts w:hint="eastAsia"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rPr>
              <w:t>分）：重点考察企业针对本次拆洗可能涉及的胶垫、板片等关键部件的备品备件储备情况。</w:t>
            </w:r>
            <w:r>
              <w:rPr>
                <w:rFonts w:hint="eastAsia" w:ascii="Times New Roman" w:hAnsi="Times New Roman" w:eastAsia="仿宋_GB2312" w:cs="Times New Roman"/>
                <w:color w:val="auto"/>
                <w:sz w:val="32"/>
                <w:szCs w:val="32"/>
              </w:rPr>
              <w:t>胶垫更换率套数不超过总量5%，板片更换片数不超过总量</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rPr>
              <w:t>%，且更换需经过业主单位现场核查同意，更换费用据实结算，</w:t>
            </w:r>
            <w:r>
              <w:rPr>
                <w:rFonts w:ascii="Times New Roman" w:hAnsi="Times New Roman" w:eastAsia="仿宋_GB2312" w:cs="Times New Roman"/>
                <w:color w:val="auto"/>
                <w:sz w:val="32"/>
                <w:szCs w:val="32"/>
              </w:rPr>
              <w:t>保障措施完善、周全者可得 8 - 15分；一般者可得1 - 7分；无相关保障措施不得分。</w:t>
            </w:r>
          </w:p>
          <w:p w14:paraId="244F2EFE">
            <w:pPr>
              <w:widowControl/>
              <w:adjustRightInd w:val="0"/>
              <w:snapToGrid w:val="0"/>
              <w:spacing w:line="520" w:lineRule="exact"/>
              <w:rPr>
                <w:rFonts w:ascii="仿宋" w:hAnsi="仿宋" w:eastAsia="仿宋" w:cs="仿宋"/>
                <w:sz w:val="32"/>
                <w:szCs w:val="32"/>
              </w:rPr>
            </w:pPr>
          </w:p>
        </w:tc>
      </w:tr>
      <w:tr w14:paraId="2B8F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jc w:val="center"/>
        </w:trPr>
        <w:tc>
          <w:tcPr>
            <w:tcW w:w="2913" w:type="dxa"/>
            <w:tcMar>
              <w:top w:w="0" w:type="dxa"/>
              <w:left w:w="0" w:type="dxa"/>
              <w:bottom w:w="0" w:type="dxa"/>
              <w:right w:w="0" w:type="dxa"/>
            </w:tcMar>
            <w:vAlign w:val="center"/>
          </w:tcPr>
          <w:p w14:paraId="0A1135D8">
            <w:pPr>
              <w:adjustRightInd w:val="0"/>
              <w:snapToGrid w:val="0"/>
              <w:spacing w:line="520" w:lineRule="exact"/>
              <w:jc w:val="center"/>
              <w:rPr>
                <w:rFonts w:hint="eastAsia" w:ascii="仿宋" w:hAnsi="仿宋" w:eastAsia="仿宋" w:cs="仿宋"/>
                <w:sz w:val="32"/>
                <w:szCs w:val="32"/>
              </w:rPr>
            </w:pPr>
            <w:r>
              <w:rPr>
                <w:rFonts w:hint="eastAsia" w:ascii="仿宋_GB2312" w:hAnsi="仿宋_GB2312" w:eastAsia="仿宋_GB2312" w:cs="仿宋_GB2312"/>
                <w:color w:val="auto"/>
                <w:sz w:val="32"/>
                <w:szCs w:val="32"/>
              </w:rPr>
              <w:t>延伸服务</w:t>
            </w:r>
          </w:p>
          <w:p w14:paraId="0E6691B3">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0分）</w:t>
            </w:r>
          </w:p>
        </w:tc>
        <w:tc>
          <w:tcPr>
            <w:tcW w:w="6786" w:type="dxa"/>
            <w:tcMar>
              <w:top w:w="0" w:type="dxa"/>
              <w:left w:w="0" w:type="dxa"/>
              <w:bottom w:w="0" w:type="dxa"/>
              <w:right w:w="0" w:type="dxa"/>
            </w:tcMar>
            <w:vAlign w:val="center"/>
          </w:tcPr>
          <w:p w14:paraId="0AFFBE6D">
            <w:pPr>
              <w:widowControl/>
              <w:adjustRightInd w:val="0"/>
              <w:snapToGrid w:val="0"/>
              <w:spacing w:line="520" w:lineRule="exact"/>
              <w:ind w:firstLine="640" w:firstLineChars="200"/>
              <w:rPr>
                <w:rFonts w:hint="eastAsia" w:ascii="仿宋" w:hAnsi="仿宋" w:eastAsia="仿宋" w:cs="仿宋"/>
                <w:sz w:val="32"/>
                <w:szCs w:val="32"/>
              </w:rPr>
            </w:pPr>
            <w:r>
              <w:rPr>
                <w:rFonts w:hint="eastAsia" w:ascii="仿宋_GB2312" w:hAnsi="仿宋_GB2312" w:eastAsia="仿宋_GB2312" w:cs="仿宋_GB2312"/>
                <w:color w:val="auto"/>
                <w:sz w:val="32"/>
                <w:szCs w:val="32"/>
              </w:rPr>
              <w:t>根据企业在清洗完成后，能否为隔压换热站板式换热器提供健康度检测、运行故障排查、运行参数分析等延伸服务进行评分。服务内容丰富、优质者可得6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10 分；一般者可得1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5 分；无延伸服务不得分。</w:t>
            </w:r>
          </w:p>
        </w:tc>
      </w:tr>
    </w:tbl>
    <w:p w14:paraId="23F751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w:t>
      </w:r>
      <w:r>
        <w:rPr>
          <w:rFonts w:hint="default" w:ascii="Times New Roman" w:hAnsi="Times New Roman" w:eastAsia="仿宋_GB2312" w:cs="Times New Roman"/>
          <w:b/>
          <w:bCs/>
          <w:sz w:val="32"/>
          <w:szCs w:val="32"/>
          <w:highlight w:val="none"/>
          <w:lang w:val="en-US" w:eastAsia="zh-CN"/>
        </w:rPr>
        <w:t>三</w:t>
      </w:r>
      <w:r>
        <w:rPr>
          <w:rFonts w:hint="default" w:ascii="Times New Roman" w:hAnsi="Times New Roman" w:eastAsia="仿宋_GB2312" w:cs="Times New Roman"/>
          <w:b/>
          <w:bCs/>
          <w:sz w:val="32"/>
          <w:szCs w:val="32"/>
          <w:highlight w:val="none"/>
          <w:lang w:val="zh-CN" w:eastAsia="zh-CN"/>
        </w:rPr>
        <w:t>）推荐</w:t>
      </w:r>
      <w:r>
        <w:rPr>
          <w:rFonts w:hint="default" w:ascii="Times New Roman" w:hAnsi="Times New Roman" w:eastAsia="仿宋_GB2312" w:cs="Times New Roman"/>
          <w:b/>
          <w:bCs/>
          <w:sz w:val="32"/>
          <w:szCs w:val="32"/>
          <w:highlight w:val="none"/>
          <w:lang w:val="en-US" w:eastAsia="zh-CN"/>
        </w:rPr>
        <w:t>中标</w:t>
      </w:r>
      <w:r>
        <w:rPr>
          <w:rFonts w:hint="default" w:ascii="Times New Roman" w:hAnsi="Times New Roman" w:eastAsia="仿宋_GB2312" w:cs="Times New Roman"/>
          <w:b/>
          <w:bCs/>
          <w:sz w:val="32"/>
          <w:szCs w:val="32"/>
          <w:highlight w:val="none"/>
          <w:lang w:val="zh-CN" w:eastAsia="zh-CN"/>
        </w:rPr>
        <w:t>候选人</w:t>
      </w:r>
    </w:p>
    <w:p w14:paraId="05A6EA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评审小组根据综合评分情况，按照评审得分由高到低顺序推荐</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名中标候选人。</w:t>
      </w:r>
      <w:r>
        <w:rPr>
          <w:rFonts w:hint="default" w:ascii="Times New Roman" w:hAnsi="Times New Roman" w:eastAsia="仿宋_GB2312" w:cs="Times New Roman"/>
          <w:sz w:val="32"/>
          <w:szCs w:val="32"/>
          <w:highlight w:val="none"/>
          <w:lang w:val="en-US" w:eastAsia="zh-CN"/>
        </w:rPr>
        <w:t>如最高得分为两家或两家以上时，由比选人组成的磋商小组进行磋商确定。</w:t>
      </w:r>
    </w:p>
    <w:p w14:paraId="6824EEF9">
      <w:pPr>
        <w:pageBreakBefore w:val="0"/>
        <w:kinsoku/>
        <w:wordWrap/>
        <w:overflowPunct/>
        <w:topLinePunct w:val="0"/>
        <w:bidi w:val="0"/>
        <w:spacing w:line="560" w:lineRule="exac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br w:type="page"/>
      </w:r>
    </w:p>
    <w:p w14:paraId="2591966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附件3</w:t>
      </w:r>
    </w:p>
    <w:p w14:paraId="53D3D624">
      <w:pPr>
        <w:pageBreakBefore w:val="0"/>
        <w:kinsoku/>
        <w:wordWrap/>
        <w:overflowPunct/>
        <w:topLinePunct w:val="0"/>
        <w:bidi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1060ABF5">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72A1C4EF">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10DF58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4B2CB56D">
      <w:pPr>
        <w:pStyle w:val="7"/>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7C17131A">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2.不以任何形式(包括但不限于现金、礼品、有价证券回扣、佣金、提供旅游、娱乐活动等)向</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2D529BC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公平、公正的活动或尝试干预评标过程。</w:t>
      </w:r>
    </w:p>
    <w:p w14:paraId="3E9EF0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单位造成损失的，依法承担赔偿责任。</w:t>
      </w:r>
    </w:p>
    <w:p w14:paraId="76F0E672">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7CFAF062">
      <w:pPr>
        <w:pageBreakBefore w:val="0"/>
        <w:kinsoku/>
        <w:wordWrap/>
        <w:overflowPunct/>
        <w:topLinePunct w:val="0"/>
        <w:bidi w:val="0"/>
        <w:spacing w:line="560" w:lineRule="exact"/>
        <w:ind w:firstLine="6400" w:firstLineChars="2000"/>
        <w:rPr>
          <w:rFonts w:hint="default" w:ascii="Times New Roman" w:hAnsi="Times New Roman" w:eastAsia="仿宋_GB2312" w:cs="Times New Roman"/>
          <w:sz w:val="32"/>
          <w:szCs w:val="32"/>
        </w:rPr>
      </w:pPr>
    </w:p>
    <w:p w14:paraId="69930BC5">
      <w:pPr>
        <w:pageBreakBefore w:val="0"/>
        <w:kinsoku/>
        <w:wordWrap/>
        <w:overflowPunct/>
        <w:topLinePunct w:val="0"/>
        <w:bidi w:val="0"/>
        <w:spacing w:line="560" w:lineRule="exact"/>
        <w:ind w:firstLine="4160" w:firstLineChars="1300"/>
        <w:rPr>
          <w:rFonts w:hint="default" w:ascii="Times New Roman" w:hAnsi="Times New Roman" w:eastAsia="仿宋_GB2312" w:cs="Times New Roman"/>
          <w:sz w:val="32"/>
          <w:szCs w:val="32"/>
        </w:rPr>
      </w:pPr>
    </w:p>
    <w:p w14:paraId="53D2C211">
      <w:pPr>
        <w:pageBreakBefore w:val="0"/>
        <w:kinsoku/>
        <w:wordWrap/>
        <w:overflowPunct/>
        <w:topLinePunct w:val="0"/>
        <w:bidi w:val="0"/>
        <w:spacing w:line="560" w:lineRule="exact"/>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14:paraId="0F157A3C">
      <w:pPr>
        <w:pageBreakBefore w:val="0"/>
        <w:kinsoku/>
        <w:wordWrap/>
        <w:overflowPunct/>
        <w:topLinePunct w:val="0"/>
        <w:bidi w:val="0"/>
        <w:spacing w:line="560" w:lineRule="exact"/>
        <w:ind w:firstLine="4160" w:firstLineChars="13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30B68"/>
    <w:rsid w:val="04AB23DD"/>
    <w:rsid w:val="05F477B7"/>
    <w:rsid w:val="06F122DD"/>
    <w:rsid w:val="08D24533"/>
    <w:rsid w:val="194C5F20"/>
    <w:rsid w:val="217650FF"/>
    <w:rsid w:val="24010C7A"/>
    <w:rsid w:val="26963A64"/>
    <w:rsid w:val="36F47CE2"/>
    <w:rsid w:val="4A1E539F"/>
    <w:rsid w:val="4F324C3C"/>
    <w:rsid w:val="594858E0"/>
    <w:rsid w:val="5CEA4E9B"/>
    <w:rsid w:val="5DDC0DD6"/>
    <w:rsid w:val="6270359D"/>
    <w:rsid w:val="68DF0CC9"/>
    <w:rsid w:val="6C743B35"/>
    <w:rsid w:val="6E8B1784"/>
    <w:rsid w:val="6FC05EEF"/>
    <w:rsid w:val="700C3E56"/>
    <w:rsid w:val="701D01BA"/>
    <w:rsid w:val="7772735E"/>
    <w:rsid w:val="78880AE2"/>
    <w:rsid w:val="7DDA6D11"/>
    <w:rsid w:val="7EA05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宋体" w:hAnsi="宋体" w:eastAsia="宋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Lines="0" w:afterAutospacing="0"/>
      <w:ind w:firstLine="723" w:firstLineChars="200"/>
    </w:pPr>
    <w:rPr>
      <w:rFonts w:asciiTheme="minorAscii" w:hAnsiTheme="minorAscii"/>
    </w:rPr>
  </w:style>
  <w:style w:type="paragraph" w:styleId="4">
    <w:name w:val="Plain Text"/>
    <w:basedOn w:val="1"/>
    <w:qFormat/>
    <w:uiPriority w:val="0"/>
    <w:rPr>
      <w:sz w:val="24"/>
    </w:rPr>
  </w:style>
  <w:style w:type="paragraph" w:customStyle="1" w:styleId="7">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1138</Words>
  <Characters>1178</Characters>
  <Lines>0</Lines>
  <Paragraphs>0</Paragraphs>
  <TotalTime>0</TotalTime>
  <ScaleCrop>false</ScaleCrop>
  <LinksUpToDate>false</LinksUpToDate>
  <CharactersWithSpaces>1229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2025-07-16T01:54:00Z</dcterms:created>
  <dc:creator>Lenovo</dc:creator>
  <cp:lastModifiedBy>WPS_1658882146</cp:lastModifiedBy>
  <dcterms:modified xsi:type="dcterms:W3CDTF">2026-07-02T07:10:43Z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eyJoZGlkIjoiZjM0NTAwZDYxN2E5ZjM4YmZkODg5ZjRkYmJhZDQyM2MiLCJ1c2VySWQiOiI1OTk3NzY2OTYifQ==</vt:lpwstr>
  </property>
  <property fmtid="{D5CDD505-2E9C-101B-9397-08002B2CF9AE}" pid="4" name="ICV">
    <vt:lpwstr>614936B3D0A643E0BC53B48BEF9F9502_13</vt:lpwstr>
  </property>
</Properties>
</file>