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FB8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</w:t>
      </w:r>
    </w:p>
    <w:p w14:paraId="1A529DFC">
      <w:pPr>
        <w:shd w:val="clear" w:color="auto" w:fill="auto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报价单</w:t>
      </w:r>
    </w:p>
    <w:p w14:paraId="578B334D">
      <w:pPr>
        <w:shd w:val="clear" w:color="auto" w:fill="auto"/>
        <w:spacing w:line="560" w:lineRule="exact"/>
        <w:jc w:val="center"/>
        <w:rPr>
          <w:rFonts w:ascii="仿宋_GB2312" w:hAnsi="仿宋" w:eastAsia="仿宋_GB2312" w:cs="仿宋"/>
          <w:b/>
          <w:sz w:val="32"/>
          <w:szCs w:val="32"/>
        </w:rPr>
      </w:pPr>
    </w:p>
    <w:tbl>
      <w:tblPr>
        <w:tblStyle w:val="13"/>
        <w:tblW w:w="8683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134"/>
        <w:gridCol w:w="5549"/>
      </w:tblGrid>
      <w:tr w14:paraId="457E1CD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8E61B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项目名称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F38B9ED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许昌市中心城区路名牌更换项目</w:t>
            </w:r>
          </w:p>
          <w:p w14:paraId="3C4593F0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监理单位比选</w:t>
            </w:r>
          </w:p>
        </w:tc>
      </w:tr>
      <w:tr w14:paraId="365173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 w14:paraId="21A08B72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12F68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default" w:ascii="仿宋_GB2312" w:hAnsi="宋体" w:eastAsia="仿宋_GB2312" w:cs="仿宋_GB2312"/>
                <w:b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b w:val="0"/>
                <w:bCs/>
                <w:color w:val="000000"/>
                <w:sz w:val="32"/>
                <w:szCs w:val="32"/>
                <w:lang w:val="en-US" w:eastAsia="zh-CN"/>
              </w:rPr>
              <w:t>公司名称***</w:t>
            </w:r>
          </w:p>
        </w:tc>
      </w:tr>
      <w:tr w14:paraId="6428FAED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93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0BE5DAA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申请人资质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05FF001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43EBE47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9C530EF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项目负责人（职务）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183B66">
            <w:pPr>
              <w:keepNext w:val="0"/>
              <w:keepLines w:val="0"/>
              <w:pageBreakBefore w:val="0"/>
              <w:widowControl/>
              <w:shd w:val="clear" w:color="auto" w:fill="auto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</w:p>
        </w:tc>
      </w:tr>
      <w:tr w14:paraId="2E597FA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069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661DE8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项目工作内容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AE4D20D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</w:tc>
      </w:tr>
      <w:tr w14:paraId="0B78E697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474" w:hRule="exact"/>
        </w:trPr>
        <w:tc>
          <w:tcPr>
            <w:tcW w:w="3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555AB3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报价</w:t>
            </w:r>
          </w:p>
        </w:tc>
        <w:tc>
          <w:tcPr>
            <w:tcW w:w="5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DAD5C97">
            <w:pPr>
              <w:widowControl/>
              <w:shd w:val="clear" w:color="auto" w:fill="auto"/>
              <w:spacing w:line="560" w:lineRule="exact"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val="en-US" w:bidi="ar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u w:val="single"/>
                <w:lang w:bidi="ar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u w:val="single"/>
                <w:lang w:val="en-US" w:eastAsia="zh-CN" w:bidi="ar"/>
              </w:rPr>
              <w:t xml:space="preserve">   </w:t>
            </w: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highlight w:val="none"/>
                <w:u w:val="none"/>
                <w:lang w:val="en-US" w:eastAsia="zh-CN" w:bidi="ar"/>
              </w:rPr>
              <w:t>元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（含税）</w:t>
            </w:r>
          </w:p>
        </w:tc>
      </w:tr>
    </w:tbl>
    <w:p w14:paraId="4D598A37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BF41D22">
      <w:pPr>
        <w:shd w:val="clear" w:color="auto" w:fill="auto"/>
        <w:adjustRightInd w:val="0"/>
        <w:spacing w:line="560" w:lineRule="exact"/>
        <w:ind w:firstLine="640" w:firstLineChars="200"/>
        <w:jc w:val="right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E354F31">
      <w:pPr>
        <w:pStyle w:val="2"/>
        <w:ind w:firstLine="5461" w:firstLineChars="1700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年    月    日</w:t>
      </w:r>
    </w:p>
    <w:p w14:paraId="394BB9E8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20E11217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</w:p>
    <w:p w14:paraId="3E6485DC">
      <w:pP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附件2</w:t>
      </w:r>
    </w:p>
    <w:p w14:paraId="5C82FC14">
      <w:pPr>
        <w:pStyle w:val="7"/>
        <w:spacing w:line="240" w:lineRule="auto"/>
        <w:ind w:firstLine="0" w:firstLineChars="0"/>
        <w:contextualSpacing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zh-CN"/>
        </w:rPr>
        <w:t>评标标准</w:t>
      </w:r>
    </w:p>
    <w:p w14:paraId="39EA38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一、资格审查</w:t>
      </w:r>
    </w:p>
    <w:p w14:paraId="6D5378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FF000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评审小组对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人资格进行检查。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确定符合资格的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sz w:val="32"/>
          <w:szCs w:val="32"/>
          <w:lang w:val="zh-CN" w:eastAsia="zh-CN"/>
        </w:rPr>
        <w:t>人不少于3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家后对投标文件进行符合性审查，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少于三家则本次评标过程无效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zh-CN" w:eastAsia="zh-CN"/>
        </w:rPr>
        <w:t>。</w:t>
      </w:r>
    </w:p>
    <w:p w14:paraId="2DAB66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二、评审</w:t>
      </w:r>
    </w:p>
    <w:p w14:paraId="09F58F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（一）评审方法</w:t>
      </w:r>
    </w:p>
    <w:p w14:paraId="14797E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zh-CN" w:eastAsia="zh-CN"/>
        </w:rPr>
        <w:t>本项目采用综合评分法。总分为 100 分。</w:t>
      </w:r>
    </w:p>
    <w:p w14:paraId="6C347C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（二）评分办法</w:t>
      </w:r>
    </w:p>
    <w:tbl>
      <w:tblPr>
        <w:tblStyle w:val="13"/>
        <w:tblW w:w="969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13"/>
        <w:gridCol w:w="6786"/>
      </w:tblGrid>
      <w:tr w14:paraId="10F013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1" w:hRule="atLeast"/>
          <w:jc w:val="center"/>
        </w:trPr>
        <w:tc>
          <w:tcPr>
            <w:tcW w:w="2913" w:type="dxa"/>
            <w:vAlign w:val="center"/>
          </w:tcPr>
          <w:p w14:paraId="6E480701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分值构成</w:t>
            </w:r>
          </w:p>
          <w:p w14:paraId="332F293D">
            <w:pPr>
              <w:tabs>
                <w:tab w:val="left" w:pos="1260"/>
              </w:tabs>
              <w:autoSpaceDE w:val="0"/>
              <w:autoSpaceDN w:val="0"/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(总分100分)</w:t>
            </w:r>
          </w:p>
        </w:tc>
        <w:tc>
          <w:tcPr>
            <w:tcW w:w="6786" w:type="dxa"/>
            <w:vAlign w:val="center"/>
          </w:tcPr>
          <w:p w14:paraId="79535A2F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 xml:space="preserve">投标报价：30 分 </w:t>
            </w:r>
          </w:p>
          <w:p w14:paraId="73778C94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 xml:space="preserve">监理大纲：30 分 </w:t>
            </w:r>
          </w:p>
          <w:p w14:paraId="4AA463CC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 xml:space="preserve">资信业绩：37 分 </w:t>
            </w:r>
          </w:p>
          <w:p w14:paraId="60CEAF32">
            <w:pPr>
              <w:widowControl/>
              <w:adjustRightInd w:val="0"/>
              <w:snapToGrid w:val="0"/>
              <w:spacing w:line="276" w:lineRule="auto"/>
              <w:jc w:val="left"/>
              <w:rPr>
                <w:rFonts w:hint="eastAsia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其他因素：3 分</w:t>
            </w:r>
          </w:p>
        </w:tc>
      </w:tr>
      <w:tr w14:paraId="67401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5914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评审项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4B08B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评标标准</w:t>
            </w:r>
          </w:p>
        </w:tc>
      </w:tr>
      <w:tr w14:paraId="362EEE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35C9B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投标报价</w:t>
            </w:r>
          </w:p>
          <w:p w14:paraId="70A580A7">
            <w:pPr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（30分）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B36705">
            <w:pPr>
              <w:numPr>
                <w:ilvl w:val="0"/>
                <w:numId w:val="1"/>
              </w:numPr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投标报价高于控制价的为无效报价；</w:t>
            </w:r>
          </w:p>
          <w:p w14:paraId="6BE71AAC">
            <w:pPr>
              <w:numPr>
                <w:ilvl w:val="0"/>
                <w:numId w:val="1"/>
              </w:numPr>
              <w:ind w:left="0" w:leftChars="0" w:firstLine="0" w:firstLine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所有参与的比选申请人最低的有效报价为基准报价；</w:t>
            </w:r>
          </w:p>
          <w:p w14:paraId="2DC7F2EB">
            <w:pPr>
              <w:numPr>
                <w:ilvl w:val="0"/>
                <w:numId w:val="0"/>
              </w:numPr>
              <w:ind w:left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3.报价得分=（基准报价/报价）×30分。</w:t>
            </w:r>
          </w:p>
        </w:tc>
      </w:tr>
      <w:tr w14:paraId="67D291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9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0603C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监理大纲</w:t>
            </w:r>
          </w:p>
          <w:p w14:paraId="788E25E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30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8CF83E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 xml:space="preserve">质量控制：总体质量控制目标满足招标文件要求，且对质量控制目标进行了合理分解、规划（0-6分）； </w:t>
            </w:r>
          </w:p>
          <w:p w14:paraId="35EB1A3B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进度控制：对总体进度目标分解合理，能体现预控和全面控制能力（0-6分）；</w:t>
            </w:r>
          </w:p>
          <w:p w14:paraId="4A75F734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安全措施：安全控制措施周密，安全控制手段合理（0-6分）；</w:t>
            </w:r>
          </w:p>
          <w:p w14:paraId="14848B37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档案及合同管理：工程档案管理措施切实可行，并设置专职人员进行管理（0-6分）；</w:t>
            </w:r>
          </w:p>
          <w:p w14:paraId="6B1BB130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left"/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</w:rPr>
              <w:t>工作制度：根据验收制度、签证制度、会议制度、公司对项目监理机构的监控制度、季报(月报)制度、公司对项目监理机构的奖惩考核制度等各项制度健全完善情况，酌情打分（0-6分）</w:t>
            </w: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zh-CN"/>
              </w:rPr>
              <w:t>。</w:t>
            </w:r>
          </w:p>
        </w:tc>
      </w:tr>
      <w:tr w14:paraId="78D02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4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B74F7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zh-CN"/>
              </w:rPr>
              <w:t>资信业绩</w:t>
            </w:r>
          </w:p>
          <w:p w14:paraId="65E01F51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（37分）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C190D6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1.企业业绩：自2023年1月1日以来，投标人具有类似市政项目业绩的，每项得5分，最高得15分。时间以合同签订时间为准，需提供中标通知书、合同协议书复印件及公示网页版截图。</w:t>
            </w:r>
          </w:p>
          <w:p w14:paraId="38C6F97A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2.企业荣誉：自2023年1月1日以来获得过省级及以上优秀工程监理企业（诚信建设先进企业）奖项得5分；市级的得3分，本项最高得15分。时间以证书日期为准，以关于获奖项目通知的红头文件及证书的原件扫描件（或图片）为准；同一项目不同获奖不重复计分。</w:t>
            </w:r>
          </w:p>
          <w:p w14:paraId="36D4D151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3.项目监理机构人员配备：（1）投标人拟派项目监理机构人员，须包括项目负责人(总监理工程师)、总监理工程师代表、专业监理工程师、造价工程师、监理员、安全员、见证员、资料员等专职人员配备齐全得2分，缺项不得分；（2）投标人拟派项目监理机构中除项目负责人(总监理 工程师) 以外的其他人员，每具备一名高级工程师的得1 分，本项最高得3分；（3）投标人拟派项目监理机构人员具有注册安全工程师的得2分，本项最高得2分。</w:t>
            </w:r>
          </w:p>
          <w:p w14:paraId="24621DC7">
            <w:pPr>
              <w:widowControl/>
              <w:numPr>
                <w:ilvl w:val="0"/>
                <w:numId w:val="0"/>
              </w:numPr>
              <w:adjustRightInd w:val="0"/>
              <w:snapToGrid w:val="0"/>
              <w:spacing w:line="276" w:lineRule="auto"/>
              <w:ind w:leftChars="0"/>
              <w:jc w:val="both"/>
              <w:rPr>
                <w:rFonts w:hint="eastAsia"/>
                <w:lang w:val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注：投标文件中须附项目监理机构人员相关证书的复印件，不提供者不得分。</w:t>
            </w:r>
          </w:p>
        </w:tc>
      </w:tr>
      <w:tr w14:paraId="4D43E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2" w:hRule="atLeast"/>
          <w:jc w:val="center"/>
        </w:trPr>
        <w:tc>
          <w:tcPr>
            <w:tcW w:w="291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CFD0D6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其他因素</w:t>
            </w:r>
          </w:p>
          <w:p w14:paraId="0AFED2F2">
            <w:pPr>
              <w:adjustRightInd w:val="0"/>
              <w:snapToGrid w:val="0"/>
              <w:spacing w:line="276" w:lineRule="auto"/>
              <w:jc w:val="center"/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val="en-US" w:eastAsia="zh-CN"/>
              </w:rPr>
              <w:t>（3分）</w:t>
            </w:r>
          </w:p>
        </w:tc>
        <w:tc>
          <w:tcPr>
            <w:tcW w:w="678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30490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 xml:space="preserve">服务承诺：投标人对以下事项进行承诺，每具有一项得 1分，没有承诺的不得分； 须包含但不限于： </w:t>
            </w:r>
          </w:p>
          <w:p w14:paraId="622C08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项目班子成员服务管理承诺(1分)；</w:t>
            </w:r>
          </w:p>
          <w:p w14:paraId="057B71A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 xml:space="preserve">质量、进度、安全、环保等承诺(1分)； </w:t>
            </w:r>
          </w:p>
          <w:p w14:paraId="21CF6A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70" w:lineRule="exact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32"/>
                <w:szCs w:val="32"/>
                <w:highlight w:val="none"/>
                <w:lang w:val="en-US" w:eastAsia="zh-CN"/>
              </w:rPr>
              <w:t>项目现场常驻监理人员不少于3人的承诺(1分)。</w:t>
            </w:r>
          </w:p>
          <w:p w14:paraId="11CA2927">
            <w:pPr>
              <w:adjustRightInd w:val="0"/>
              <w:snapToGrid w:val="0"/>
              <w:spacing w:line="276" w:lineRule="auto"/>
              <w:jc w:val="left"/>
              <w:rPr>
                <w:rFonts w:hint="default"/>
                <w:color w:val="auto"/>
                <w:lang w:val="en-US" w:eastAsia="zh-CN"/>
              </w:rPr>
            </w:pPr>
          </w:p>
        </w:tc>
      </w:tr>
    </w:tbl>
    <w:p w14:paraId="258406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3" w:firstLineChars="200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（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）推荐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中标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zh-CN" w:eastAsia="zh-CN"/>
        </w:rPr>
        <w:t>候选人</w:t>
      </w:r>
    </w:p>
    <w:p w14:paraId="1D3066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评审小组根据综合评分情况，按照评审得分由高到低顺序推荐1名中标候选人。如最高得分为两家或两家以上时，由采购人组成的磋商小组进行磋商确定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。</w:t>
      </w:r>
    </w:p>
    <w:p w14:paraId="6AA505C1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61CE001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77F1BAB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7F9659EB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1D840E5A">
      <w:pPr>
        <w:pStyle w:val="12"/>
        <w:spacing w:before="100" w:after="100"/>
        <w:ind w:left="0" w:leftChars="0" w:firstLine="0" w:firstLineChars="0"/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</w:pPr>
    </w:p>
    <w:p w14:paraId="2E8C915F">
      <w:pPr>
        <w:pStyle w:val="12"/>
        <w:spacing w:before="100" w:after="100"/>
        <w:ind w:left="0" w:leftChars="0" w:firstLine="0" w:firstLineChars="0"/>
        <w:rPr>
          <w:rFonts w:hint="default" w:eastAsia="仿宋_GB2312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附件3：</w:t>
      </w:r>
    </w:p>
    <w:p w14:paraId="3FE68D1E"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廉洁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自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律承诺书</w:t>
      </w:r>
    </w:p>
    <w:p w14:paraId="0C59F5D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6477B23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致: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公司</w:t>
      </w:r>
    </w:p>
    <w:p w14:paraId="0295E6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为维护公平竞争的市场环境，确保经济活动的廉洁性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合法性和透明度，防止任何形式的不正当交易及腐败行为，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我单位作为投标人，郑重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承诺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如下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:</w:t>
      </w:r>
    </w:p>
    <w:p w14:paraId="7F63C4FF">
      <w:pPr>
        <w:pStyle w:val="15"/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640" w:firstLineChars="200"/>
        <w:jc w:val="both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严格遵守国家及地方关于招投标、市场竞争的相关法律法规，不使用不正当手段妨碍、排挤相关投标单位或串通投标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3A82C91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2.不以任何形式(包括但不限于现金、礼品、有价证券回扣、佣金、提供旅游、娱乐活动等)向招标人员、评标专家或其他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利害关系方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进行贿赂或给予不正当利益。</w:t>
      </w:r>
    </w:p>
    <w:p w14:paraId="0038F4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3.不进行任何可能影响招标公平、公正的活动或尝试干预评标过程。</w:t>
      </w:r>
    </w:p>
    <w:p w14:paraId="0C5BDD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如违反上述承诺，我单位愿意接受包括但不限于取消投标资格、中标无效、列入不良行为记录名单等，给招标单位造成损失的，依法承担赔偿责任。</w:t>
      </w:r>
    </w:p>
    <w:p w14:paraId="5370ED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特此承诺。</w:t>
      </w:r>
    </w:p>
    <w:p w14:paraId="466F5FC5">
      <w:pPr>
        <w:ind w:firstLine="6400" w:firstLineChars="200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249F06">
      <w:pPr>
        <w:ind w:firstLine="4160" w:firstLineChars="13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单位名称(盖章)</w:t>
      </w:r>
    </w:p>
    <w:p w14:paraId="322375C1">
      <w:pPr>
        <w:ind w:firstLine="4160" w:firstLineChars="13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日期:</w:t>
      </w:r>
    </w:p>
    <w:p w14:paraId="624CC397"/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swiss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1" w:fontKey="{069620D3-8D05-4CAD-80E6-6A97CF3ED6AD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851E95DA-01ED-4F06-B7A5-54648CF23620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127BA37E-E846-4874-B8C6-873C4374068C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B57573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7FDC80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87FDC80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C0B00E1"/>
    <w:multiLevelType w:val="singleLevel"/>
    <w:tmpl w:val="9C0B00E1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0B8C0093"/>
    <w:multiLevelType w:val="singleLevel"/>
    <w:tmpl w:val="0B8C0093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E4766F"/>
    <w:rsid w:val="019150A2"/>
    <w:rsid w:val="01CA216C"/>
    <w:rsid w:val="022C0730"/>
    <w:rsid w:val="02447828"/>
    <w:rsid w:val="028B18FB"/>
    <w:rsid w:val="03630182"/>
    <w:rsid w:val="03B60333"/>
    <w:rsid w:val="040F67E2"/>
    <w:rsid w:val="04311D7B"/>
    <w:rsid w:val="04EC17F6"/>
    <w:rsid w:val="053E7D2E"/>
    <w:rsid w:val="05CF7D50"/>
    <w:rsid w:val="06316315"/>
    <w:rsid w:val="073F6AF1"/>
    <w:rsid w:val="07EA2C20"/>
    <w:rsid w:val="08E4766F"/>
    <w:rsid w:val="08F35052"/>
    <w:rsid w:val="09012917"/>
    <w:rsid w:val="09047D11"/>
    <w:rsid w:val="095C7FA3"/>
    <w:rsid w:val="096F5AD2"/>
    <w:rsid w:val="097A7FD3"/>
    <w:rsid w:val="09A60DC8"/>
    <w:rsid w:val="0B0264D2"/>
    <w:rsid w:val="0BB93035"/>
    <w:rsid w:val="0CD8573D"/>
    <w:rsid w:val="0F4949CC"/>
    <w:rsid w:val="0F6A6D45"/>
    <w:rsid w:val="121865DB"/>
    <w:rsid w:val="12A6008B"/>
    <w:rsid w:val="12D06EB6"/>
    <w:rsid w:val="12DA1AE3"/>
    <w:rsid w:val="13645F7C"/>
    <w:rsid w:val="13BD35E6"/>
    <w:rsid w:val="13E0137B"/>
    <w:rsid w:val="14DE58BA"/>
    <w:rsid w:val="16351E52"/>
    <w:rsid w:val="16AA5BFF"/>
    <w:rsid w:val="17D42FA4"/>
    <w:rsid w:val="188E75F7"/>
    <w:rsid w:val="18F558C8"/>
    <w:rsid w:val="18F90F15"/>
    <w:rsid w:val="1954439D"/>
    <w:rsid w:val="19742C91"/>
    <w:rsid w:val="197E141A"/>
    <w:rsid w:val="1A085FD3"/>
    <w:rsid w:val="1A8B0292"/>
    <w:rsid w:val="1ABD4218"/>
    <w:rsid w:val="1B656D35"/>
    <w:rsid w:val="1B972C67"/>
    <w:rsid w:val="1B9735D8"/>
    <w:rsid w:val="1C790312"/>
    <w:rsid w:val="1C884B8C"/>
    <w:rsid w:val="1CB515F6"/>
    <w:rsid w:val="1D1673F4"/>
    <w:rsid w:val="1D882793"/>
    <w:rsid w:val="1E0D400B"/>
    <w:rsid w:val="1EE241F9"/>
    <w:rsid w:val="20141DB5"/>
    <w:rsid w:val="20A025BE"/>
    <w:rsid w:val="210E5779"/>
    <w:rsid w:val="21102954"/>
    <w:rsid w:val="2217240B"/>
    <w:rsid w:val="22671F9E"/>
    <w:rsid w:val="23CE2152"/>
    <w:rsid w:val="240D3AC6"/>
    <w:rsid w:val="246758CC"/>
    <w:rsid w:val="24B16B47"/>
    <w:rsid w:val="25076767"/>
    <w:rsid w:val="263170C3"/>
    <w:rsid w:val="275F6D2E"/>
    <w:rsid w:val="27787DF0"/>
    <w:rsid w:val="27EC6775"/>
    <w:rsid w:val="280A234B"/>
    <w:rsid w:val="28304227"/>
    <w:rsid w:val="292C0E92"/>
    <w:rsid w:val="292C2C40"/>
    <w:rsid w:val="2BA74800"/>
    <w:rsid w:val="2BF10171"/>
    <w:rsid w:val="2C043A01"/>
    <w:rsid w:val="2D782A6B"/>
    <w:rsid w:val="2DC86CB0"/>
    <w:rsid w:val="2E1B5BCA"/>
    <w:rsid w:val="2E4B6478"/>
    <w:rsid w:val="2E913546"/>
    <w:rsid w:val="2F283EAA"/>
    <w:rsid w:val="2F2919D0"/>
    <w:rsid w:val="301F34FF"/>
    <w:rsid w:val="327411B4"/>
    <w:rsid w:val="33114C55"/>
    <w:rsid w:val="332C1A8F"/>
    <w:rsid w:val="33501744"/>
    <w:rsid w:val="33633703"/>
    <w:rsid w:val="33E74334"/>
    <w:rsid w:val="34666BD6"/>
    <w:rsid w:val="34A57D4B"/>
    <w:rsid w:val="35040F15"/>
    <w:rsid w:val="35D46B3A"/>
    <w:rsid w:val="35E52AF5"/>
    <w:rsid w:val="367207C6"/>
    <w:rsid w:val="36A55DE0"/>
    <w:rsid w:val="37AC319E"/>
    <w:rsid w:val="37C64260"/>
    <w:rsid w:val="37EA43F2"/>
    <w:rsid w:val="38003C16"/>
    <w:rsid w:val="389B749B"/>
    <w:rsid w:val="38C06F01"/>
    <w:rsid w:val="390B04A7"/>
    <w:rsid w:val="39FA5C2A"/>
    <w:rsid w:val="3B135A0E"/>
    <w:rsid w:val="3BC66F24"/>
    <w:rsid w:val="3BC92571"/>
    <w:rsid w:val="3C5809F1"/>
    <w:rsid w:val="3CB1422C"/>
    <w:rsid w:val="3DDF7E2A"/>
    <w:rsid w:val="3E16027D"/>
    <w:rsid w:val="3E742C68"/>
    <w:rsid w:val="3E990920"/>
    <w:rsid w:val="3E9926CE"/>
    <w:rsid w:val="3EAD617A"/>
    <w:rsid w:val="3FB3156E"/>
    <w:rsid w:val="3FFF1345"/>
    <w:rsid w:val="40257AEB"/>
    <w:rsid w:val="40750F19"/>
    <w:rsid w:val="418036D2"/>
    <w:rsid w:val="41D00C05"/>
    <w:rsid w:val="420F2CA7"/>
    <w:rsid w:val="425C25C6"/>
    <w:rsid w:val="425F59DD"/>
    <w:rsid w:val="43346E69"/>
    <w:rsid w:val="4353542C"/>
    <w:rsid w:val="43A959FE"/>
    <w:rsid w:val="43EF2D90"/>
    <w:rsid w:val="446F7A2D"/>
    <w:rsid w:val="44733E68"/>
    <w:rsid w:val="453E5D7D"/>
    <w:rsid w:val="45B61DB8"/>
    <w:rsid w:val="45C049E4"/>
    <w:rsid w:val="46506E72"/>
    <w:rsid w:val="46BD2CD2"/>
    <w:rsid w:val="46C40F46"/>
    <w:rsid w:val="471072A6"/>
    <w:rsid w:val="48403BBB"/>
    <w:rsid w:val="48666871"/>
    <w:rsid w:val="491C63D6"/>
    <w:rsid w:val="49671123"/>
    <w:rsid w:val="4A407EA2"/>
    <w:rsid w:val="4B7047B7"/>
    <w:rsid w:val="4DF220F6"/>
    <w:rsid w:val="4E7520E4"/>
    <w:rsid w:val="4F5F526E"/>
    <w:rsid w:val="4FFF1E66"/>
    <w:rsid w:val="51314000"/>
    <w:rsid w:val="522A6CE4"/>
    <w:rsid w:val="52850580"/>
    <w:rsid w:val="52D4387D"/>
    <w:rsid w:val="5328051C"/>
    <w:rsid w:val="53531EFE"/>
    <w:rsid w:val="535624E4"/>
    <w:rsid w:val="53C40DF9"/>
    <w:rsid w:val="5402266C"/>
    <w:rsid w:val="54AD25D8"/>
    <w:rsid w:val="54EB2E1F"/>
    <w:rsid w:val="55E42029"/>
    <w:rsid w:val="55F45FE4"/>
    <w:rsid w:val="574134AB"/>
    <w:rsid w:val="581B032E"/>
    <w:rsid w:val="582708F3"/>
    <w:rsid w:val="583F5C3D"/>
    <w:rsid w:val="586B6A32"/>
    <w:rsid w:val="58DE1F33"/>
    <w:rsid w:val="58FC4F69"/>
    <w:rsid w:val="5943350B"/>
    <w:rsid w:val="594352B9"/>
    <w:rsid w:val="5A513A05"/>
    <w:rsid w:val="5B0647F0"/>
    <w:rsid w:val="5B070568"/>
    <w:rsid w:val="5B136F0D"/>
    <w:rsid w:val="5B4B1EC1"/>
    <w:rsid w:val="5BBC0EAA"/>
    <w:rsid w:val="5C037EDF"/>
    <w:rsid w:val="5C221AFD"/>
    <w:rsid w:val="5C7659A5"/>
    <w:rsid w:val="5CC9362F"/>
    <w:rsid w:val="5CD10E2D"/>
    <w:rsid w:val="5D4A130C"/>
    <w:rsid w:val="5E3D49CC"/>
    <w:rsid w:val="5EEA6F8D"/>
    <w:rsid w:val="60196D73"/>
    <w:rsid w:val="62465E1A"/>
    <w:rsid w:val="62570809"/>
    <w:rsid w:val="627B1F67"/>
    <w:rsid w:val="628506F0"/>
    <w:rsid w:val="63275C4B"/>
    <w:rsid w:val="63FA61A4"/>
    <w:rsid w:val="651105D5"/>
    <w:rsid w:val="65501D46"/>
    <w:rsid w:val="65750EF0"/>
    <w:rsid w:val="658B25CF"/>
    <w:rsid w:val="65DC4ACB"/>
    <w:rsid w:val="67672ABA"/>
    <w:rsid w:val="67AA29A7"/>
    <w:rsid w:val="67CA4DF7"/>
    <w:rsid w:val="688431F8"/>
    <w:rsid w:val="68E87407"/>
    <w:rsid w:val="68EC771B"/>
    <w:rsid w:val="696C0215"/>
    <w:rsid w:val="69A91168"/>
    <w:rsid w:val="69AF0FBD"/>
    <w:rsid w:val="69B63885"/>
    <w:rsid w:val="6AC61BF3"/>
    <w:rsid w:val="6AEE0103"/>
    <w:rsid w:val="6B321631"/>
    <w:rsid w:val="6B785296"/>
    <w:rsid w:val="6B901CD8"/>
    <w:rsid w:val="6BA3608B"/>
    <w:rsid w:val="6CA87639"/>
    <w:rsid w:val="6DFF1C9E"/>
    <w:rsid w:val="6E166FE8"/>
    <w:rsid w:val="6E2B6899"/>
    <w:rsid w:val="6E773123"/>
    <w:rsid w:val="6E7C3ECE"/>
    <w:rsid w:val="6FBE16E5"/>
    <w:rsid w:val="70967F6C"/>
    <w:rsid w:val="716562BC"/>
    <w:rsid w:val="723D0FE7"/>
    <w:rsid w:val="72640322"/>
    <w:rsid w:val="7309711B"/>
    <w:rsid w:val="73165394"/>
    <w:rsid w:val="733F6699"/>
    <w:rsid w:val="736600CA"/>
    <w:rsid w:val="748F53FE"/>
    <w:rsid w:val="763E0E8A"/>
    <w:rsid w:val="766227CC"/>
    <w:rsid w:val="768C7332"/>
    <w:rsid w:val="76F0487A"/>
    <w:rsid w:val="77426567"/>
    <w:rsid w:val="77493F8A"/>
    <w:rsid w:val="77AE3901"/>
    <w:rsid w:val="78174088"/>
    <w:rsid w:val="78574485"/>
    <w:rsid w:val="78770683"/>
    <w:rsid w:val="787943FB"/>
    <w:rsid w:val="78E958F6"/>
    <w:rsid w:val="791F6178"/>
    <w:rsid w:val="7B08766C"/>
    <w:rsid w:val="7B9F65A8"/>
    <w:rsid w:val="7BE211F3"/>
    <w:rsid w:val="7C0B180E"/>
    <w:rsid w:val="7C594C70"/>
    <w:rsid w:val="7D0932A6"/>
    <w:rsid w:val="7D11554A"/>
    <w:rsid w:val="7DAD0FE3"/>
    <w:rsid w:val="7DC425BD"/>
    <w:rsid w:val="7DDA593C"/>
    <w:rsid w:val="7F370B6C"/>
    <w:rsid w:val="7FFB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100" w:beforeLines="0" w:beforeAutospacing="0" w:after="100" w:afterLines="0" w:afterAutospacing="0" w:line="240" w:lineRule="auto"/>
      <w:ind w:firstLine="0" w:firstLineChars="0"/>
      <w:outlineLvl w:val="1"/>
    </w:pPr>
    <w:rPr>
      <w:b/>
      <w:sz w:val="32"/>
    </w:rPr>
  </w:style>
  <w:style w:type="character" w:default="1" w:styleId="14">
    <w:name w:val="Default Paragraph Font"/>
    <w:semiHidden/>
    <w:qFormat/>
    <w:uiPriority w:val="0"/>
    <w:rPr>
      <w:rFonts w:ascii="Calibri" w:hAnsi="Calibri" w:eastAsia="仿宋_GB2312"/>
      <w:sz w:val="32"/>
    </w:rPr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4"/>
    <w:qFormat/>
    <w:uiPriority w:val="0"/>
    <w:pPr>
      <w:jc w:val="center"/>
    </w:pPr>
    <w:rPr>
      <w:rFonts w:ascii="Times New Roman" w:hAnsi="Times New Roman" w:eastAsia="黑体" w:cs="Times New Roman"/>
      <w:sz w:val="36"/>
      <w:szCs w:val="20"/>
    </w:rPr>
  </w:style>
  <w:style w:type="paragraph" w:styleId="4">
    <w:name w:val="Body Text 2"/>
    <w:basedOn w:val="1"/>
    <w:qFormat/>
    <w:uiPriority w:val="0"/>
    <w:pPr>
      <w:spacing w:line="480" w:lineRule="auto"/>
    </w:pPr>
    <w:rPr>
      <w:rFonts w:ascii="Times New Roman" w:hAnsi="Times New Roman" w:eastAsia="宋体" w:cs="Times New Roman"/>
    </w:rPr>
  </w:style>
  <w:style w:type="paragraph" w:styleId="5">
    <w:name w:val="Body Text Indent"/>
    <w:basedOn w:val="1"/>
    <w:next w:val="6"/>
    <w:qFormat/>
    <w:uiPriority w:val="0"/>
    <w:pPr>
      <w:spacing w:after="120"/>
      <w:ind w:left="420" w:leftChars="200"/>
    </w:pPr>
  </w:style>
  <w:style w:type="paragraph" w:styleId="6">
    <w:name w:val="envelope return"/>
    <w:basedOn w:val="1"/>
    <w:qFormat/>
    <w:uiPriority w:val="0"/>
    <w:pPr>
      <w:widowControl w:val="0"/>
      <w:snapToGrid w:val="0"/>
      <w:jc w:val="both"/>
    </w:pPr>
    <w:rPr>
      <w:rFonts w:ascii="Arial" w:hAnsi="Arial" w:eastAsia="宋体" w:cs="Times New Roman"/>
      <w:kern w:val="2"/>
      <w:sz w:val="21"/>
      <w:szCs w:val="22"/>
      <w:lang w:val="en-US" w:eastAsia="zh-CN" w:bidi="ar-SA"/>
    </w:rPr>
  </w:style>
  <w:style w:type="paragraph" w:styleId="7">
    <w:name w:val="Plain Text"/>
    <w:basedOn w:val="1"/>
    <w:qFormat/>
    <w:uiPriority w:val="0"/>
    <w:rPr>
      <w:sz w:val="24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11">
    <w:name w:val="Body Text First Indent"/>
    <w:basedOn w:val="3"/>
    <w:next w:val="12"/>
    <w:qFormat/>
    <w:uiPriority w:val="0"/>
    <w:pPr>
      <w:ind w:firstLine="420" w:firstLineChars="100"/>
    </w:pPr>
    <w:rPr>
      <w:rFonts w:ascii="宋体" w:hAnsi="Times New Roman" w:eastAsia="宋体" w:cs="Times New Roman"/>
      <w:kern w:val="0"/>
      <w:sz w:val="34"/>
      <w:szCs w:val="20"/>
    </w:rPr>
  </w:style>
  <w:style w:type="paragraph" w:styleId="12">
    <w:name w:val="Body Text First Indent 2"/>
    <w:basedOn w:val="5"/>
    <w:qFormat/>
    <w:uiPriority w:val="0"/>
    <w:pPr>
      <w:adjustRightInd w:val="0"/>
      <w:snapToGrid w:val="0"/>
      <w:spacing w:beforeAutospacing="1" w:afterAutospacing="1" w:line="360" w:lineRule="auto"/>
      <w:ind w:left="480" w:firstLine="562" w:firstLineChars="200"/>
      <w:jc w:val="left"/>
    </w:pPr>
    <w:rPr>
      <w:rFonts w:hint="eastAsia" w:ascii="仿宋_GB2312" w:hAnsi="仿宋_GB2312" w:cs="Times New Roman"/>
      <w:szCs w:val="30"/>
      <w:lang w:eastAsia="en-US"/>
    </w:rPr>
  </w:style>
  <w:style w:type="paragraph" w:customStyle="1" w:styleId="15">
    <w:name w:val="Body Text First Indent"/>
    <w:basedOn w:val="3"/>
    <w:qFormat/>
    <w:uiPriority w:val="0"/>
    <w:pPr>
      <w:adjustRightInd w:val="0"/>
      <w:spacing w:line="312" w:lineRule="atLeast"/>
      <w:ind w:firstLine="420"/>
      <w:textAlignment w:val="baseline"/>
    </w:pPr>
    <w:rPr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1468</Words>
  <Characters>1514</Characters>
  <Lines>0</Lines>
  <Paragraphs>0</Paragraphs>
  <TotalTime>1</TotalTime>
  <ScaleCrop>false</ScaleCrop>
  <LinksUpToDate>false</LinksUpToDate>
  <CharactersWithSpaces>1550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2025-10-17T00:22:00Z</dcterms:created>
  <dc:creator>小雨</dc:creator>
  <cp:lastModifiedBy>WPS_1658882146</cp:lastModifiedBy>
  <dcterms:modified xsi:type="dcterms:W3CDTF">2026-07-21T02:38:07Z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6E8EDB150F2F4E6ABA47CD5B87EF7E15_13</vt:lpwstr>
  </property>
  <property fmtid="{D5CDD505-2E9C-101B-9397-08002B2CF9AE}" pid="4" name="KSOTemplateDocerSaveRecord">
    <vt:lpwstr>eyJoZGlkIjoiOTIyY2E1Y2MxN2RlNmU3MWE5ZTI4MTRkNjNlNGE0MTMiLCJ1c2VySWQiOiIyMjI0MzU2NzYifQ==</vt:lpwstr>
  </property>
</Properties>
</file>