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DA13E">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附件1</w:t>
      </w:r>
    </w:p>
    <w:p w14:paraId="436D4BF3">
      <w:pPr>
        <w:shd w:val="clear" w:color="auto" w:fill="auto"/>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报价单</w:t>
      </w:r>
    </w:p>
    <w:p w14:paraId="773EFF42">
      <w:pPr>
        <w:shd w:val="clear" w:color="auto" w:fill="auto"/>
        <w:spacing w:line="560" w:lineRule="exact"/>
        <w:jc w:val="center"/>
        <w:rPr>
          <w:rFonts w:ascii="仿宋_GB2312" w:hAnsi="仿宋" w:eastAsia="仿宋_GB2312" w:cs="仿宋"/>
          <w:b/>
          <w:sz w:val="32"/>
          <w:szCs w:val="32"/>
        </w:rPr>
      </w:pPr>
    </w:p>
    <w:tbl>
      <w:tblPr>
        <w:tblStyle w:val="14"/>
        <w:tblW w:w="8683" w:type="dxa"/>
        <w:tblInd w:w="0" w:type="dxa"/>
        <w:tblLayout w:type="fixed"/>
        <w:tblCellMar>
          <w:top w:w="15" w:type="dxa"/>
          <w:left w:w="15" w:type="dxa"/>
          <w:bottom w:w="15" w:type="dxa"/>
          <w:right w:w="15" w:type="dxa"/>
        </w:tblCellMar>
      </w:tblPr>
      <w:tblGrid>
        <w:gridCol w:w="3200"/>
        <w:gridCol w:w="5483"/>
      </w:tblGrid>
      <w:tr w14:paraId="58FEA598">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11D67031">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7B97BB76">
            <w:pPr>
              <w:keepNext w:val="0"/>
              <w:keepLines w:val="0"/>
              <w:pageBreakBefore w:val="0"/>
              <w:widowControl w:val="0"/>
              <w:kinsoku/>
              <w:wordWrap/>
              <w:overflowPunct/>
              <w:topLinePunct w:val="0"/>
              <w:autoSpaceDE/>
              <w:autoSpaceDN/>
              <w:bidi w:val="0"/>
              <w:adjustRightInd/>
              <w:snapToGrid/>
              <w:spacing w:line="580" w:lineRule="exact"/>
              <w:ind w:left="320" w:hanging="320" w:hangingChars="100"/>
              <w:jc w:val="center"/>
              <w:textAlignment w:val="auto"/>
              <w:rPr>
                <w:rFonts w:hint="default" w:ascii="仿宋_GB2312" w:hAnsi="仿宋_GB2312" w:eastAsia="仿宋_GB2312" w:cs="仿宋_GB2312"/>
                <w:b/>
                <w:color w:val="000000"/>
                <w:sz w:val="24"/>
                <w:szCs w:val="24"/>
                <w:lang w:val="en-US" w:eastAsia="zh-CN"/>
              </w:rPr>
            </w:pPr>
            <w:r>
              <w:rPr>
                <w:rFonts w:hint="eastAsia" w:ascii="仿宋_GB2312" w:hAnsi="仿宋_GB2312" w:eastAsia="仿宋_GB2312" w:cs="仿宋_GB2312"/>
                <w:sz w:val="32"/>
                <w:szCs w:val="32"/>
                <w:lang w:eastAsia="zh-CN"/>
              </w:rPr>
              <w:t>许昌市中心城区“汽改水”工程审计决算造价咨询单位比选</w:t>
            </w:r>
          </w:p>
        </w:tc>
      </w:tr>
      <w:tr w14:paraId="09E49929">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right w:val="single" w:color="000000" w:sz="4" w:space="0"/>
            </w:tcBorders>
            <w:vAlign w:val="center"/>
          </w:tcPr>
          <w:p w14:paraId="62028FA6">
            <w:pPr>
              <w:widowControl/>
              <w:shd w:val="clear" w:color="auto" w:fill="auto"/>
              <w:spacing w:line="5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646DBAA8">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192DE935">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6E76BF69">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243887A6">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5C1CFDE2">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auto" w:sz="4" w:space="0"/>
              <w:right w:val="single" w:color="000000" w:sz="4" w:space="0"/>
            </w:tcBorders>
            <w:vAlign w:val="center"/>
          </w:tcPr>
          <w:p w14:paraId="3D760E76">
            <w:pPr>
              <w:widowControl/>
              <w:shd w:val="clear" w:color="auto" w:fill="auto"/>
              <w:spacing w:line="560" w:lineRule="exact"/>
              <w:jc w:val="center"/>
              <w:textAlignment w:val="center"/>
              <w:rPr>
                <w:rFonts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auto" w:sz="4" w:space="0"/>
              <w:right w:val="single" w:color="000000" w:sz="4" w:space="0"/>
            </w:tcBorders>
            <w:vAlign w:val="center"/>
          </w:tcPr>
          <w:p w14:paraId="5B4BD2C9">
            <w:pPr>
              <w:widowControl/>
              <w:shd w:val="clear" w:color="auto" w:fill="auto"/>
              <w:spacing w:line="560" w:lineRule="exact"/>
              <w:jc w:val="center"/>
              <w:textAlignment w:val="center"/>
              <w:rPr>
                <w:rFonts w:ascii="仿宋_GB2312" w:hAnsi="宋体" w:eastAsia="仿宋_GB2312" w:cs="仿宋_GB2312"/>
                <w:b/>
                <w:color w:val="000000"/>
                <w:sz w:val="32"/>
                <w:szCs w:val="32"/>
              </w:rPr>
            </w:pPr>
          </w:p>
        </w:tc>
      </w:tr>
      <w:tr w14:paraId="7539FB7E">
        <w:tblPrEx>
          <w:tblCellMar>
            <w:top w:w="15" w:type="dxa"/>
            <w:left w:w="15" w:type="dxa"/>
            <w:bottom w:w="15" w:type="dxa"/>
            <w:right w:w="15" w:type="dxa"/>
          </w:tblCellMar>
        </w:tblPrEx>
        <w:trPr>
          <w:trHeight w:val="1474" w:hRule="exact"/>
        </w:trPr>
        <w:tc>
          <w:tcPr>
            <w:tcW w:w="3200" w:type="dxa"/>
            <w:tcBorders>
              <w:top w:val="single" w:color="auto" w:sz="4" w:space="0"/>
              <w:left w:val="single" w:color="auto" w:sz="4" w:space="0"/>
              <w:bottom w:val="single" w:color="auto" w:sz="4" w:space="0"/>
              <w:right w:val="single" w:color="000000" w:sz="4" w:space="0"/>
            </w:tcBorders>
            <w:vAlign w:val="center"/>
          </w:tcPr>
          <w:p w14:paraId="31B78A24">
            <w:pPr>
              <w:widowControl/>
              <w:shd w:val="clear" w:color="auto" w:fill="auto"/>
              <w:spacing w:line="560" w:lineRule="exact"/>
              <w:jc w:val="center"/>
              <w:textAlignment w:val="center"/>
              <w:rPr>
                <w:rFonts w:hint="eastAsia" w:ascii="仿宋_GB2312" w:hAnsi="宋体" w:eastAsia="仿宋_GB2312" w:cs="仿宋_GB2312"/>
                <w:b/>
                <w:color w:val="000000"/>
                <w:kern w:val="0"/>
                <w:sz w:val="32"/>
                <w:szCs w:val="32"/>
                <w:lang w:val="en-US" w:eastAsia="zh-CN" w:bidi="ar"/>
              </w:rPr>
            </w:pPr>
            <w:r>
              <w:rPr>
                <w:rFonts w:hint="eastAsia" w:ascii="仿宋_GB2312" w:hAnsi="宋体" w:eastAsia="仿宋_GB2312" w:cs="仿宋_GB2312"/>
                <w:b/>
                <w:color w:val="000000"/>
                <w:kern w:val="0"/>
                <w:sz w:val="32"/>
                <w:szCs w:val="32"/>
                <w:lang w:bidi="ar"/>
              </w:rPr>
              <w:t>报价</w:t>
            </w:r>
          </w:p>
        </w:tc>
        <w:tc>
          <w:tcPr>
            <w:tcW w:w="5483" w:type="dxa"/>
            <w:tcBorders>
              <w:top w:val="single" w:color="auto" w:sz="4" w:space="0"/>
              <w:left w:val="single" w:color="000000" w:sz="4" w:space="0"/>
              <w:bottom w:val="single" w:color="auto" w:sz="4" w:space="0"/>
              <w:right w:val="single" w:color="auto" w:sz="4" w:space="0"/>
            </w:tcBorders>
            <w:vAlign w:val="center"/>
          </w:tcPr>
          <w:p w14:paraId="17F33D71">
            <w:pPr>
              <w:widowControl/>
              <w:shd w:val="clear" w:color="auto" w:fill="auto"/>
              <w:spacing w:line="560" w:lineRule="exact"/>
              <w:jc w:val="center"/>
              <w:textAlignment w:val="center"/>
              <w:rPr>
                <w:rFonts w:hint="eastAsia" w:ascii="仿宋_GB2312" w:hAnsi="宋体" w:eastAsia="仿宋_GB2312" w:cs="仿宋_GB2312"/>
                <w:b w:val="0"/>
                <w:bCs/>
                <w:color w:val="000000"/>
                <w:kern w:val="0"/>
                <w:sz w:val="32"/>
                <w:szCs w:val="32"/>
                <w:lang w:eastAsia="zh-CN" w:bidi="ar"/>
              </w:rPr>
            </w:pPr>
            <w:r>
              <w:rPr>
                <w:rFonts w:hint="eastAsia" w:ascii="仿宋_GB2312" w:hAnsi="宋体" w:eastAsia="仿宋_GB2312" w:cs="仿宋_GB2312"/>
                <w:b w:val="0"/>
                <w:bCs/>
                <w:color w:val="000000"/>
                <w:kern w:val="0"/>
                <w:sz w:val="32"/>
                <w:szCs w:val="32"/>
                <w:u w:val="single"/>
                <w:lang w:val="en-US" w:eastAsia="zh-CN" w:bidi="ar"/>
              </w:rPr>
              <w:t xml:space="preserve">      </w:t>
            </w:r>
            <w:r>
              <w:rPr>
                <w:rFonts w:hint="eastAsia" w:ascii="仿宋_GB2312" w:hAnsi="宋体" w:eastAsia="仿宋_GB2312" w:cs="仿宋_GB2312"/>
                <w:b w:val="0"/>
                <w:bCs/>
                <w:color w:val="000000"/>
                <w:kern w:val="0"/>
                <w:sz w:val="32"/>
                <w:szCs w:val="32"/>
                <w:lang w:val="en-US" w:eastAsia="zh-CN" w:bidi="ar"/>
              </w:rPr>
              <w:t>万元</w:t>
            </w:r>
          </w:p>
        </w:tc>
      </w:tr>
    </w:tbl>
    <w:p w14:paraId="70BC71BD">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2FEDD734">
      <w:pPr>
        <w:shd w:val="clear" w:color="auto" w:fill="auto"/>
        <w:adjustRightInd w:val="0"/>
        <w:spacing w:line="560" w:lineRule="exact"/>
        <w:ind w:firstLine="640" w:firstLineChars="200"/>
        <w:jc w:val="right"/>
        <w:rPr>
          <w:rFonts w:hint="eastAsia" w:ascii="仿宋_GB2312" w:hAnsi="仿宋_GB2312" w:eastAsia="仿宋_GB2312" w:cs="仿宋_GB2312"/>
          <w:sz w:val="32"/>
          <w:szCs w:val="32"/>
          <w:highlight w:val="none"/>
          <w:lang w:val="en-US" w:eastAsia="zh-CN"/>
        </w:rPr>
      </w:pPr>
    </w:p>
    <w:p w14:paraId="77DCF4F0">
      <w:pPr>
        <w:pStyle w:val="9"/>
        <w:ind w:firstLine="5461" w:firstLineChars="17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年    月    日</w:t>
      </w:r>
    </w:p>
    <w:p w14:paraId="76AF8CB7">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4C36C64C">
      <w:pPr>
        <w:rPr>
          <w:rFonts w:hint="eastAsia"/>
          <w:lang w:val="en-US" w:eastAsia="zh-CN"/>
        </w:rPr>
      </w:pPr>
    </w:p>
    <w:p w14:paraId="4592E8E7">
      <w:pPr>
        <w:keepNext w:val="0"/>
        <w:keepLines w:val="0"/>
        <w:pageBreakBefore w:val="0"/>
        <w:kinsoku/>
        <w:wordWrap/>
        <w:overflowPunct/>
        <w:topLinePunct w:val="0"/>
        <w:bidi w:val="0"/>
        <w:spacing w:beforeAutospacing="0" w:afterAutospacing="0" w:line="560" w:lineRule="exac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附件2</w:t>
      </w:r>
    </w:p>
    <w:p w14:paraId="0C1A745C">
      <w:pPr>
        <w:pStyle w:val="10"/>
        <w:keepNext w:val="0"/>
        <w:keepLines w:val="0"/>
        <w:pageBreakBefore w:val="0"/>
        <w:kinsoku/>
        <w:wordWrap/>
        <w:overflowPunct/>
        <w:topLinePunct w:val="0"/>
        <w:bidi w:val="0"/>
        <w:spacing w:beforeAutospacing="0" w:afterAutospacing="0" w:line="560" w:lineRule="exact"/>
        <w:ind w:firstLine="0" w:firstLineChars="0"/>
        <w:contextualSpacing/>
        <w:jc w:val="center"/>
        <w:rPr>
          <w:rFonts w:hint="eastAsia" w:ascii="方正小标宋简体" w:hAnsi="方正小标宋简体" w:eastAsia="方正小标宋简体" w:cs="方正小标宋简体"/>
          <w:b w:val="0"/>
          <w:bCs/>
          <w:sz w:val="44"/>
          <w:szCs w:val="44"/>
          <w:lang w:val="zh-CN"/>
        </w:rPr>
      </w:pPr>
      <w:r>
        <w:rPr>
          <w:rFonts w:hint="eastAsia" w:ascii="方正小标宋简体" w:hAnsi="方正小标宋简体" w:eastAsia="方正小标宋简体" w:cs="方正小标宋简体"/>
          <w:b w:val="0"/>
          <w:bCs/>
          <w:sz w:val="44"/>
          <w:szCs w:val="44"/>
          <w:lang w:val="zh-CN"/>
        </w:rPr>
        <w:t>评标标准</w:t>
      </w:r>
    </w:p>
    <w:p w14:paraId="68A4BD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一、资格审查</w:t>
      </w:r>
    </w:p>
    <w:p w14:paraId="535E65B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FF0000"/>
          <w:sz w:val="32"/>
          <w:szCs w:val="32"/>
          <w:lang w:val="zh-CN" w:eastAsia="zh-CN"/>
        </w:rPr>
      </w:pPr>
      <w:r>
        <w:rPr>
          <w:rFonts w:hint="eastAsia" w:ascii="仿宋_GB2312" w:hAnsi="仿宋_GB2312" w:eastAsia="仿宋_GB2312" w:cs="仿宋_GB2312"/>
          <w:sz w:val="32"/>
          <w:szCs w:val="32"/>
          <w:lang w:eastAsia="zh-CN"/>
        </w:rPr>
        <w:t>评审小组对</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eastAsia="zh-CN"/>
        </w:rPr>
        <w:t>人资格进行检查。</w:t>
      </w:r>
      <w:r>
        <w:rPr>
          <w:rFonts w:hint="eastAsia" w:ascii="仿宋_GB2312" w:hAnsi="仿宋_GB2312" w:eastAsia="仿宋_GB2312" w:cs="仿宋_GB2312"/>
          <w:sz w:val="32"/>
          <w:szCs w:val="32"/>
          <w:lang w:val="zh-CN" w:eastAsia="zh-CN"/>
        </w:rPr>
        <w:t>确定符合资格的</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lang w:val="zh-CN" w:eastAsia="zh-CN"/>
        </w:rPr>
        <w:t>人不少于3</w:t>
      </w:r>
      <w:r>
        <w:rPr>
          <w:rFonts w:hint="eastAsia" w:ascii="仿宋_GB2312" w:hAnsi="仿宋_GB2312" w:eastAsia="仿宋_GB2312" w:cs="仿宋_GB2312"/>
          <w:color w:val="auto"/>
          <w:sz w:val="32"/>
          <w:szCs w:val="32"/>
          <w:lang w:val="zh-CN" w:eastAsia="zh-CN"/>
        </w:rPr>
        <w:t>家后对投标文件进行符合性审查，</w:t>
      </w:r>
      <w:r>
        <w:rPr>
          <w:rFonts w:hint="eastAsia" w:ascii="仿宋_GB2312" w:hAnsi="仿宋_GB2312" w:eastAsia="仿宋_GB2312" w:cs="仿宋_GB2312"/>
          <w:color w:val="auto"/>
          <w:sz w:val="32"/>
          <w:szCs w:val="32"/>
          <w:lang w:val="en-US" w:eastAsia="zh-CN"/>
        </w:rPr>
        <w:t>少于3家，则本次评标过程无效</w:t>
      </w:r>
      <w:r>
        <w:rPr>
          <w:rFonts w:hint="eastAsia" w:ascii="仿宋_GB2312" w:hAnsi="仿宋_GB2312" w:eastAsia="仿宋_GB2312" w:cs="仿宋_GB2312"/>
          <w:color w:val="auto"/>
          <w:sz w:val="32"/>
          <w:szCs w:val="32"/>
          <w:lang w:val="zh-CN" w:eastAsia="zh-CN"/>
        </w:rPr>
        <w:t>。</w:t>
      </w:r>
    </w:p>
    <w:p w14:paraId="65843B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w:t>
      </w:r>
    </w:p>
    <w:p w14:paraId="46D027A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（一）评审方法</w:t>
      </w:r>
    </w:p>
    <w:p w14:paraId="0B8F66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本项目采用综合评分法。总分为 100 分。</w:t>
      </w:r>
    </w:p>
    <w:p w14:paraId="1759AD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（二）评分办法</w:t>
      </w:r>
    </w:p>
    <w:tbl>
      <w:tblPr>
        <w:tblStyle w:val="14"/>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3499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722C0DD5">
            <w:pPr>
              <w:keepNext w:val="0"/>
              <w:keepLines w:val="0"/>
              <w:pageBreakBefore w:val="0"/>
              <w:tabs>
                <w:tab w:val="left" w:pos="1260"/>
              </w:tabs>
              <w:kinsoku/>
              <w:wordWrap/>
              <w:overflowPunct/>
              <w:topLinePunct w:val="0"/>
              <w:autoSpaceDE w:val="0"/>
              <w:autoSpaceDN w:val="0"/>
              <w:bidi w:val="0"/>
              <w:adjustRightInd w:val="0"/>
              <w:snapToGrid w:val="0"/>
              <w:spacing w:beforeAutospacing="0" w:afterAutospacing="0" w:line="560" w:lineRule="exact"/>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分值构成</w:t>
            </w:r>
          </w:p>
          <w:p w14:paraId="5C64D005">
            <w:pPr>
              <w:keepNext w:val="0"/>
              <w:keepLines w:val="0"/>
              <w:pageBreakBefore w:val="0"/>
              <w:tabs>
                <w:tab w:val="left" w:pos="1260"/>
              </w:tabs>
              <w:kinsoku/>
              <w:wordWrap/>
              <w:overflowPunct/>
              <w:topLinePunct w:val="0"/>
              <w:autoSpaceDE w:val="0"/>
              <w:autoSpaceDN w:val="0"/>
              <w:bidi w:val="0"/>
              <w:adjustRightInd w:val="0"/>
              <w:snapToGrid w:val="0"/>
              <w:spacing w:beforeAutospacing="0" w:afterAutospacing="0" w:line="560" w:lineRule="exact"/>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（总分100分）</w:t>
            </w:r>
          </w:p>
        </w:tc>
        <w:tc>
          <w:tcPr>
            <w:tcW w:w="7863" w:type="dxa"/>
            <w:vAlign w:val="center"/>
          </w:tcPr>
          <w:p w14:paraId="333AB6D9">
            <w:pPr>
              <w:keepNext w:val="0"/>
              <w:keepLines w:val="0"/>
              <w:pageBreakBefore w:val="0"/>
              <w:kinsoku/>
              <w:wordWrap/>
              <w:overflowPunct/>
              <w:topLinePunct w:val="0"/>
              <w:bidi w:val="0"/>
              <w:adjustRightInd w:val="0"/>
              <w:snapToGrid w:val="0"/>
              <w:spacing w:beforeAutospacing="0" w:afterAutospacing="0" w:line="560" w:lineRule="exact"/>
              <w:jc w:val="both"/>
              <w:rPr>
                <w:rFonts w:hint="eastAsia" w:ascii="仿宋_GB2312" w:hAnsi="仿宋_GB2312" w:eastAsia="仿宋_GB2312" w:cs="仿宋_GB2312"/>
                <w:sz w:val="32"/>
                <w:szCs w:val="32"/>
                <w:lang w:val="zh-CN"/>
              </w:rPr>
            </w:pPr>
            <w:r>
              <w:rPr>
                <w:rFonts w:hint="default" w:ascii="Times New Roman" w:hAnsi="Times New Roman" w:eastAsia="仿宋_GB2312" w:cs="Times New Roman"/>
                <w:kern w:val="2"/>
                <w:sz w:val="32"/>
                <w:szCs w:val="32"/>
                <w:lang w:val="en-US" w:eastAsia="zh-CN" w:bidi="ar-SA"/>
              </w:rPr>
              <w:t>企业报价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 xml:space="preserve"> 30 </w:t>
            </w:r>
            <w:r>
              <w:rPr>
                <w:rFonts w:hint="eastAsia" w:ascii="仿宋_GB2312" w:hAnsi="仿宋_GB2312" w:eastAsia="仿宋_GB2312" w:cs="仿宋_GB2312"/>
                <w:sz w:val="32"/>
                <w:szCs w:val="32"/>
                <w:lang w:val="zh-CN"/>
              </w:rPr>
              <w:t>分</w:t>
            </w:r>
          </w:p>
          <w:p w14:paraId="6435D7BA">
            <w:pPr>
              <w:keepNext w:val="0"/>
              <w:keepLines w:val="0"/>
              <w:pageBreakBefore w:val="0"/>
              <w:widowControl/>
              <w:kinsoku/>
              <w:wordWrap/>
              <w:overflowPunct/>
              <w:topLinePunct w:val="0"/>
              <w:bidi w:val="0"/>
              <w:adjustRightInd w:val="0"/>
              <w:snapToGrid w:val="0"/>
              <w:spacing w:beforeAutospacing="0" w:afterAutospacing="0" w:line="560" w:lineRule="exact"/>
              <w:jc w:val="left"/>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kern w:val="2"/>
                <w:sz w:val="32"/>
                <w:szCs w:val="32"/>
                <w:lang w:val="en-US" w:eastAsia="zh-CN" w:bidi="ar-SA"/>
              </w:rPr>
              <w:t>服务方案</w:t>
            </w:r>
            <w:r>
              <w:rPr>
                <w:rFonts w:hint="eastAsia" w:ascii="仿宋_GB2312" w:hAnsi="仿宋_GB2312" w:eastAsia="仿宋_GB2312" w:cs="仿宋_GB2312"/>
                <w:sz w:val="32"/>
                <w:szCs w:val="32"/>
                <w:lang w:val="en-US" w:eastAsia="zh-CN"/>
              </w:rPr>
              <w:t>： 30 分</w:t>
            </w:r>
          </w:p>
          <w:p w14:paraId="64FE1335">
            <w:pPr>
              <w:keepNext w:val="0"/>
              <w:keepLines w:val="0"/>
              <w:pageBreakBefore w:val="0"/>
              <w:widowControl/>
              <w:kinsoku/>
              <w:wordWrap/>
              <w:overflowPunct/>
              <w:topLinePunct w:val="0"/>
              <w:bidi w:val="0"/>
              <w:adjustRightInd w:val="0"/>
              <w:snapToGrid w:val="0"/>
              <w:spacing w:beforeAutospacing="0" w:afterAutospacing="0" w:line="560" w:lineRule="exact"/>
              <w:jc w:val="left"/>
              <w:rPr>
                <w:rFonts w:hint="eastAsia" w:ascii="仿宋_GB2312" w:hAnsi="仿宋_GB2312" w:eastAsia="仿宋_GB2312" w:cs="仿宋_GB2312"/>
                <w:sz w:val="32"/>
                <w:szCs w:val="32"/>
                <w:lang w:val="zh-CN" w:eastAsia="zh-CN"/>
              </w:rPr>
            </w:pPr>
            <w:r>
              <w:rPr>
                <w:rFonts w:hint="default" w:ascii="Times New Roman" w:hAnsi="Times New Roman" w:eastAsia="仿宋_GB2312" w:cs="Times New Roman"/>
                <w:kern w:val="2"/>
                <w:sz w:val="32"/>
                <w:szCs w:val="32"/>
                <w:lang w:val="en-US" w:eastAsia="zh-CN" w:bidi="ar-SA"/>
              </w:rPr>
              <w:t>企业业绩</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 xml:space="preserve"> 20</w:t>
            </w:r>
            <w:r>
              <w:rPr>
                <w:rFonts w:hint="eastAsia" w:ascii="仿宋_GB2312" w:hAnsi="仿宋_GB2312" w:eastAsia="仿宋_GB2312" w:cs="仿宋_GB2312"/>
                <w:sz w:val="32"/>
                <w:szCs w:val="32"/>
                <w:lang w:val="zh-CN" w:eastAsia="zh-CN"/>
              </w:rPr>
              <w:t xml:space="preserve"> 分</w:t>
            </w:r>
          </w:p>
          <w:p w14:paraId="4BF488C4">
            <w:pPr>
              <w:keepNext w:val="0"/>
              <w:keepLines w:val="0"/>
              <w:pageBreakBefore w:val="0"/>
              <w:widowControl/>
              <w:kinsoku/>
              <w:wordWrap/>
              <w:overflowPunct/>
              <w:topLinePunct w:val="0"/>
              <w:bidi w:val="0"/>
              <w:adjustRightInd w:val="0"/>
              <w:snapToGrid w:val="0"/>
              <w:spacing w:beforeAutospacing="0" w:afterAutospacing="0" w:line="560" w:lineRule="exact"/>
              <w:jc w:val="left"/>
              <w:rPr>
                <w:rFonts w:hint="eastAsia"/>
                <w:lang w:val="en-US"/>
              </w:rPr>
            </w:pPr>
            <w:r>
              <w:rPr>
                <w:rFonts w:hint="default" w:ascii="Times New Roman" w:hAnsi="Times New Roman" w:eastAsia="仿宋_GB2312" w:cs="Times New Roman"/>
                <w:kern w:val="2"/>
                <w:sz w:val="32"/>
                <w:szCs w:val="32"/>
                <w:lang w:val="en-US" w:eastAsia="zh-CN" w:bidi="ar-SA"/>
              </w:rPr>
              <w:t>管理机构</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 xml:space="preserve"> 20 </w:t>
            </w:r>
            <w:r>
              <w:rPr>
                <w:rFonts w:hint="eastAsia" w:ascii="仿宋_GB2312" w:hAnsi="仿宋_GB2312" w:eastAsia="仿宋_GB2312" w:cs="仿宋_GB2312"/>
                <w:sz w:val="32"/>
                <w:szCs w:val="32"/>
                <w:lang w:val="zh-CN" w:eastAsia="zh-CN"/>
              </w:rPr>
              <w:t>分</w:t>
            </w:r>
          </w:p>
        </w:tc>
      </w:tr>
      <w:tr w14:paraId="7705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46474A01">
            <w:pPr>
              <w:keepNext w:val="0"/>
              <w:keepLines w:val="0"/>
              <w:pageBreakBefore w:val="0"/>
              <w:kinsoku/>
              <w:wordWrap/>
              <w:overflowPunct/>
              <w:topLinePunct w:val="0"/>
              <w:bidi w:val="0"/>
              <w:spacing w:beforeAutospacing="0" w:afterAutospacing="0" w:line="560" w:lineRule="exact"/>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评审项</w:t>
            </w:r>
          </w:p>
        </w:tc>
        <w:tc>
          <w:tcPr>
            <w:tcW w:w="7863" w:type="dxa"/>
            <w:tcMar>
              <w:top w:w="0" w:type="dxa"/>
              <w:left w:w="0" w:type="dxa"/>
              <w:bottom w:w="0" w:type="dxa"/>
              <w:right w:w="0" w:type="dxa"/>
            </w:tcMar>
            <w:vAlign w:val="center"/>
          </w:tcPr>
          <w:p w14:paraId="7A01C207">
            <w:pPr>
              <w:keepNext w:val="0"/>
              <w:keepLines w:val="0"/>
              <w:pageBreakBefore w:val="0"/>
              <w:kinsoku/>
              <w:wordWrap/>
              <w:overflowPunct/>
              <w:topLinePunct w:val="0"/>
              <w:bidi w:val="0"/>
              <w:spacing w:beforeAutospacing="0" w:afterAutospacing="0" w:line="560" w:lineRule="exact"/>
              <w:jc w:val="center"/>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评标标准</w:t>
            </w:r>
          </w:p>
        </w:tc>
      </w:tr>
      <w:tr w14:paraId="0454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04" w:type="dxa"/>
            <w:tcMar>
              <w:top w:w="0" w:type="dxa"/>
              <w:left w:w="0" w:type="dxa"/>
              <w:bottom w:w="0" w:type="dxa"/>
              <w:right w:w="0" w:type="dxa"/>
            </w:tcMar>
            <w:vAlign w:val="center"/>
          </w:tcPr>
          <w:p w14:paraId="3ACAA8CF">
            <w:pPr>
              <w:keepNext w:val="0"/>
              <w:keepLines w:val="0"/>
              <w:pageBreakBefore w:val="0"/>
              <w:kinsoku/>
              <w:wordWrap/>
              <w:overflowPunct/>
              <w:topLinePunct w:val="0"/>
              <w:bidi w:val="0"/>
              <w:adjustRightInd w:val="0"/>
              <w:snapToGrid w:val="0"/>
              <w:spacing w:beforeAutospacing="0" w:afterAutospacing="0" w:line="560" w:lineRule="exact"/>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企业报价</w:t>
            </w:r>
          </w:p>
          <w:p w14:paraId="78291810">
            <w:pPr>
              <w:keepNext w:val="0"/>
              <w:keepLines w:val="0"/>
              <w:pageBreakBefore w:val="0"/>
              <w:kinsoku/>
              <w:wordWrap/>
              <w:overflowPunct/>
              <w:topLinePunct w:val="0"/>
              <w:bidi w:val="0"/>
              <w:adjustRightInd w:val="0"/>
              <w:snapToGrid w:val="0"/>
              <w:spacing w:beforeAutospacing="0" w:afterAutospacing="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w:t>
            </w:r>
          </w:p>
        </w:tc>
        <w:tc>
          <w:tcPr>
            <w:tcW w:w="7863" w:type="dxa"/>
            <w:tcMar>
              <w:top w:w="0" w:type="dxa"/>
              <w:left w:w="0" w:type="dxa"/>
              <w:bottom w:w="0" w:type="dxa"/>
              <w:right w:w="0" w:type="dxa"/>
            </w:tcMar>
            <w:vAlign w:val="center"/>
          </w:tcPr>
          <w:p w14:paraId="7E3FA7CF">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lang w:val="en-US" w:eastAsia="zh-CN"/>
              </w:rPr>
            </w:pPr>
            <w:r>
              <w:rPr>
                <w:rFonts w:hint="default" w:ascii="Times New Roman" w:hAnsi="Times New Roman" w:eastAsia="仿宋_GB2312" w:cs="Times New Roman"/>
                <w:b w:val="0"/>
                <w:bCs w:val="0"/>
                <w:kern w:val="2"/>
                <w:sz w:val="32"/>
                <w:szCs w:val="32"/>
                <w:lang w:val="en-US" w:eastAsia="zh-CN" w:bidi="ar-SA"/>
              </w:rPr>
              <w:t>所有参与的比选申请人最低的</w:t>
            </w:r>
            <w:r>
              <w:rPr>
                <w:rFonts w:hint="eastAsia" w:eastAsia="仿宋_GB2312" w:cs="Times New Roman"/>
                <w:b w:val="0"/>
                <w:bCs w:val="0"/>
                <w:kern w:val="2"/>
                <w:sz w:val="32"/>
                <w:szCs w:val="32"/>
                <w:lang w:val="en-US" w:eastAsia="zh-CN" w:bidi="ar-SA"/>
              </w:rPr>
              <w:t>有效报价</w:t>
            </w:r>
            <w:r>
              <w:rPr>
                <w:rFonts w:hint="default" w:ascii="Times New Roman" w:hAnsi="Times New Roman" w:eastAsia="仿宋_GB2312" w:cs="Times New Roman"/>
                <w:b w:val="0"/>
                <w:bCs w:val="0"/>
                <w:kern w:val="2"/>
                <w:sz w:val="32"/>
                <w:szCs w:val="32"/>
                <w:lang w:val="en-US" w:eastAsia="zh-CN" w:bidi="ar-SA"/>
              </w:rPr>
              <w:t>为基准报价，报价得分=（基准报价/报价）×</w:t>
            </w:r>
            <w:r>
              <w:rPr>
                <w:rFonts w:hint="eastAsia" w:eastAsia="仿宋_GB2312" w:cs="Times New Roman"/>
                <w:b w:val="0"/>
                <w:bCs w:val="0"/>
                <w:kern w:val="2"/>
                <w:sz w:val="32"/>
                <w:szCs w:val="32"/>
                <w:lang w:val="en-US" w:eastAsia="zh-CN" w:bidi="ar-SA"/>
              </w:rPr>
              <w:t>30</w:t>
            </w:r>
            <w:r>
              <w:rPr>
                <w:rFonts w:hint="default" w:ascii="Times New Roman" w:hAnsi="Times New Roman" w:eastAsia="仿宋_GB2312" w:cs="Times New Roman"/>
                <w:b w:val="0"/>
                <w:bCs w:val="0"/>
                <w:kern w:val="2"/>
                <w:sz w:val="32"/>
                <w:szCs w:val="32"/>
                <w:lang w:val="en-US" w:eastAsia="zh-CN" w:bidi="ar-SA"/>
              </w:rPr>
              <w:t>分，超过</w:t>
            </w:r>
            <w:r>
              <w:rPr>
                <w:rFonts w:hint="eastAsia" w:ascii="Times New Roman" w:hAnsi="Times New Roman" w:eastAsia="仿宋_GB2312" w:cs="Times New Roman"/>
                <w:sz w:val="32"/>
                <w:szCs w:val="32"/>
                <w:lang w:val="en-US" w:eastAsia="zh-CN"/>
              </w:rPr>
              <w:t>45.69万元</w:t>
            </w:r>
            <w:r>
              <w:rPr>
                <w:rFonts w:hint="eastAsia" w:ascii="Times New Roman" w:hAnsi="Times New Roman" w:eastAsia="仿宋_GB2312" w:cs="Times New Roman"/>
                <w:color w:val="auto"/>
                <w:sz w:val="32"/>
                <w:szCs w:val="32"/>
                <w:lang w:val="en-US" w:eastAsia="zh-CN"/>
              </w:rPr>
              <w:t>的报价为</w:t>
            </w:r>
            <w:r>
              <w:rPr>
                <w:rFonts w:hint="default" w:ascii="Times New Roman" w:hAnsi="Times New Roman" w:eastAsia="仿宋_GB2312" w:cs="Times New Roman"/>
                <w:b w:val="0"/>
                <w:bCs w:val="0"/>
                <w:kern w:val="2"/>
                <w:sz w:val="32"/>
                <w:szCs w:val="32"/>
                <w:lang w:val="en-US" w:eastAsia="zh-CN" w:bidi="ar-SA"/>
              </w:rPr>
              <w:t>无效报价</w:t>
            </w:r>
            <w:r>
              <w:rPr>
                <w:rFonts w:hint="eastAsia" w:ascii="仿宋_GB2312" w:hAnsi="仿宋_GB2312" w:eastAsia="仿宋_GB2312" w:cs="仿宋_GB2312"/>
                <w:sz w:val="32"/>
                <w:szCs w:val="32"/>
                <w:lang w:val="en-US" w:eastAsia="zh-CN"/>
              </w:rPr>
              <w:t>。</w:t>
            </w:r>
          </w:p>
        </w:tc>
      </w:tr>
      <w:tr w14:paraId="5CDE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304" w:type="dxa"/>
            <w:shd w:val="clear" w:color="auto" w:fill="auto"/>
            <w:tcMar>
              <w:top w:w="0" w:type="dxa"/>
              <w:left w:w="0" w:type="dxa"/>
              <w:bottom w:w="0" w:type="dxa"/>
              <w:right w:w="0" w:type="dxa"/>
            </w:tcMar>
            <w:vAlign w:val="center"/>
          </w:tcPr>
          <w:p w14:paraId="6C932789">
            <w:pPr>
              <w:keepNext w:val="0"/>
              <w:keepLines w:val="0"/>
              <w:pageBreakBefore w:val="0"/>
              <w:kinsoku/>
              <w:wordWrap/>
              <w:overflowPunct/>
              <w:topLinePunct w:val="0"/>
              <w:bidi w:val="0"/>
              <w:adjustRightInd w:val="0"/>
              <w:snapToGrid w:val="0"/>
              <w:spacing w:beforeAutospacing="0" w:afterAutospacing="0" w:line="560" w:lineRule="exact"/>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服务方案</w:t>
            </w:r>
          </w:p>
          <w:p w14:paraId="448111B9">
            <w:pPr>
              <w:keepNext w:val="0"/>
              <w:keepLines w:val="0"/>
              <w:pageBreakBefore w:val="0"/>
              <w:kinsoku/>
              <w:wordWrap/>
              <w:overflowPunct/>
              <w:topLinePunct w:val="0"/>
              <w:bidi w:val="0"/>
              <w:adjustRightInd w:val="0"/>
              <w:snapToGrid w:val="0"/>
              <w:spacing w:beforeAutospacing="0" w:afterAutospacing="0" w:line="560" w:lineRule="exact"/>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（30分）</w:t>
            </w:r>
          </w:p>
        </w:tc>
        <w:tc>
          <w:tcPr>
            <w:tcW w:w="7863" w:type="dxa"/>
            <w:shd w:val="clear" w:color="auto" w:fill="auto"/>
            <w:tcMar>
              <w:top w:w="0" w:type="dxa"/>
              <w:left w:w="0" w:type="dxa"/>
              <w:bottom w:w="0" w:type="dxa"/>
              <w:right w:w="0" w:type="dxa"/>
            </w:tcMar>
            <w:vAlign w:val="center"/>
          </w:tcPr>
          <w:p w14:paraId="4CA00CEB">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left="0" w:leftChars="0" w:firstLine="640" w:firstLineChars="200"/>
              <w:jc w:val="both"/>
              <w:rPr>
                <w:rFonts w:hint="default" w:ascii="Times New Roman" w:hAnsi="Times New Roman" w:eastAsia="宋体" w:cs="Times New Roman"/>
                <w:kern w:val="2"/>
                <w:sz w:val="21"/>
                <w:lang w:val="en-US" w:eastAsia="zh-CN" w:bidi="ar-SA"/>
              </w:rPr>
            </w:pPr>
            <w:r>
              <w:rPr>
                <w:rFonts w:hint="eastAsia" w:ascii="仿宋_GB2312" w:hAnsi="仿宋_GB2312" w:eastAsia="仿宋_GB2312" w:cs="仿宋_GB2312"/>
                <w:sz w:val="32"/>
                <w:szCs w:val="32"/>
                <w:lang w:val="en-US" w:eastAsia="zh-CN"/>
              </w:rPr>
              <w:t>总体服务方案</w:t>
            </w:r>
            <w:r>
              <w:rPr>
                <w:rFonts w:hint="default" w:ascii="Times New Roman" w:hAnsi="Times New Roman" w:eastAsia="仿宋_GB2312" w:cs="Times New Roman"/>
                <w:sz w:val="32"/>
                <w:szCs w:val="32"/>
                <w:lang w:val="en-US" w:eastAsia="zh-CN"/>
              </w:rPr>
              <w:t>（0-10分）</w:t>
            </w:r>
            <w:r>
              <w:rPr>
                <w:rFonts w:hint="eastAsia" w:eastAsia="仿宋_GB2312" w:cs="Times New Roman"/>
                <w:sz w:val="32"/>
                <w:szCs w:val="32"/>
                <w:lang w:val="en-US" w:eastAsia="zh-CN"/>
              </w:rPr>
              <w:t>，包括审计目标、团队组建、工作流程、质量控制、进度安排、沟通协调机制、保密措施等内容；</w:t>
            </w:r>
            <w:r>
              <w:rPr>
                <w:rFonts w:hint="eastAsia" w:ascii="仿宋_GB2312" w:hAnsi="仿宋_GB2312" w:eastAsia="仿宋_GB2312" w:cs="仿宋_GB2312"/>
                <w:sz w:val="32"/>
                <w:szCs w:val="32"/>
                <w:lang w:val="en-US" w:eastAsia="zh-CN"/>
              </w:rPr>
              <w:t>重、难点分析</w:t>
            </w:r>
            <w:r>
              <w:rPr>
                <w:rFonts w:hint="default" w:ascii="Times New Roman" w:hAnsi="Times New Roman" w:eastAsia="仿宋_GB2312" w:cs="Times New Roman"/>
                <w:sz w:val="32"/>
                <w:szCs w:val="32"/>
                <w:lang w:val="en-US" w:eastAsia="zh-CN"/>
              </w:rPr>
              <w:t>（0-10分）</w:t>
            </w:r>
            <w:r>
              <w:rPr>
                <w:rFonts w:hint="eastAsia" w:eastAsia="仿宋_GB2312" w:cs="Times New Roman"/>
                <w:sz w:val="32"/>
                <w:szCs w:val="32"/>
                <w:lang w:val="en-US" w:eastAsia="zh-CN"/>
              </w:rPr>
              <w:t>，根据工作内容、重点和难点，进行分析并制定出相应的处理方法；质量保障措施</w:t>
            </w:r>
            <w:r>
              <w:rPr>
                <w:rFonts w:hint="default" w:ascii="Times New Roman" w:hAnsi="Times New Roman" w:eastAsia="仿宋_GB2312" w:cs="Times New Roman"/>
                <w:sz w:val="32"/>
                <w:szCs w:val="32"/>
                <w:lang w:val="en-US" w:eastAsia="zh-CN"/>
              </w:rPr>
              <w:t>（0-5分）</w:t>
            </w:r>
            <w:r>
              <w:rPr>
                <w:rFonts w:hint="eastAsia" w:eastAsia="仿宋_GB2312" w:cs="Times New Roman"/>
                <w:sz w:val="32"/>
                <w:szCs w:val="32"/>
                <w:lang w:val="en-US" w:eastAsia="zh-CN"/>
              </w:rPr>
              <w:t>，针对本项目质量要求，制定出实现质量目标的具体保障措施；</w:t>
            </w:r>
            <w:r>
              <w:rPr>
                <w:rFonts w:hint="eastAsia" w:eastAsia="仿宋_GB2312" w:cs="Times New Roman"/>
                <w:color w:val="000000"/>
                <w:sz w:val="32"/>
                <w:szCs w:val="32"/>
                <w:highlight w:val="none"/>
                <w:lang w:val="en-US" w:eastAsia="zh-CN"/>
              </w:rPr>
              <w:t>时间进度保障措施</w:t>
            </w:r>
            <w:r>
              <w:rPr>
                <w:rFonts w:hint="default" w:ascii="Times New Roman" w:hAnsi="Times New Roman" w:eastAsia="仿宋_GB2312" w:cs="Times New Roman"/>
                <w:sz w:val="32"/>
                <w:szCs w:val="32"/>
                <w:lang w:val="en-US" w:eastAsia="zh-CN"/>
              </w:rPr>
              <w:t>（0-5分）</w:t>
            </w:r>
            <w:r>
              <w:rPr>
                <w:rFonts w:hint="eastAsia" w:eastAsia="仿宋_GB2312" w:cs="Times New Roman"/>
                <w:sz w:val="32"/>
                <w:szCs w:val="32"/>
                <w:lang w:val="en-US" w:eastAsia="zh-CN"/>
              </w:rPr>
              <w:t>，对工作时间进度管理措施、组织保障措施详细说明</w:t>
            </w:r>
            <w:r>
              <w:rPr>
                <w:rFonts w:hint="default" w:ascii="Times New Roman" w:hAnsi="Times New Roman" w:eastAsia="仿宋_GB2312" w:cs="Times New Roman"/>
                <w:sz w:val="32"/>
                <w:szCs w:val="32"/>
                <w:lang w:val="en-US" w:eastAsia="zh-CN"/>
              </w:rPr>
              <w:t>。</w:t>
            </w:r>
          </w:p>
        </w:tc>
      </w:tr>
      <w:tr w14:paraId="15D9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2304" w:type="dxa"/>
            <w:tcMar>
              <w:top w:w="0" w:type="dxa"/>
              <w:left w:w="0" w:type="dxa"/>
              <w:bottom w:w="0" w:type="dxa"/>
              <w:right w:w="0" w:type="dxa"/>
            </w:tcMar>
            <w:vAlign w:val="center"/>
          </w:tcPr>
          <w:p w14:paraId="14ABFD1E">
            <w:pPr>
              <w:keepNext w:val="0"/>
              <w:keepLines w:val="0"/>
              <w:pageBreakBefore w:val="0"/>
              <w:kinsoku/>
              <w:wordWrap/>
              <w:overflowPunct/>
              <w:topLinePunct w:val="0"/>
              <w:bidi w:val="0"/>
              <w:adjustRightInd w:val="0"/>
              <w:snapToGrid w:val="0"/>
              <w:spacing w:beforeAutospacing="0" w:afterAutospacing="0" w:line="560" w:lineRule="exact"/>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企业业绩</w:t>
            </w:r>
          </w:p>
          <w:p w14:paraId="38A7B988">
            <w:pPr>
              <w:keepNext w:val="0"/>
              <w:keepLines w:val="0"/>
              <w:pageBreakBefore w:val="0"/>
              <w:kinsoku/>
              <w:wordWrap/>
              <w:overflowPunct/>
              <w:topLinePunct w:val="0"/>
              <w:bidi w:val="0"/>
              <w:adjustRightInd w:val="0"/>
              <w:snapToGrid w:val="0"/>
              <w:spacing w:beforeAutospacing="0" w:afterAutospacing="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（20分）</w:t>
            </w:r>
          </w:p>
        </w:tc>
        <w:tc>
          <w:tcPr>
            <w:tcW w:w="7863" w:type="dxa"/>
            <w:tcMar>
              <w:top w:w="0" w:type="dxa"/>
              <w:left w:w="0" w:type="dxa"/>
              <w:bottom w:w="0" w:type="dxa"/>
              <w:right w:w="0" w:type="dxa"/>
            </w:tcMar>
            <w:vAlign w:val="center"/>
          </w:tcPr>
          <w:p w14:paraId="7FD39AEE">
            <w:pPr>
              <w:keepNext w:val="0"/>
              <w:keepLines w:val="0"/>
              <w:pageBreakBefore w:val="0"/>
              <w:widowControl/>
              <w:numPr>
                <w:ilvl w:val="0"/>
                <w:numId w:val="0"/>
              </w:numPr>
              <w:kinsoku/>
              <w:wordWrap/>
              <w:overflowPunct/>
              <w:topLinePunct w:val="0"/>
              <w:bidi w:val="0"/>
              <w:adjustRightInd w:val="0"/>
              <w:snapToGrid w:val="0"/>
              <w:spacing w:beforeAutospacing="0" w:afterAutospacing="0" w:line="560" w:lineRule="exact"/>
              <w:ind w:leftChars="0" w:firstLine="640" w:firstLineChars="200"/>
              <w:jc w:val="both"/>
              <w:rPr>
                <w:rFonts w:hint="eastAsia" w:ascii="仿宋_GB2312" w:hAnsi="仿宋_GB2312" w:eastAsia="仿宋_GB2312" w:cs="仿宋_GB2312"/>
                <w:sz w:val="32"/>
                <w:szCs w:val="32"/>
                <w:lang w:val="zh-CN"/>
              </w:rPr>
            </w:pPr>
            <w:r>
              <w:rPr>
                <w:rFonts w:hint="default" w:ascii="Times New Roman" w:hAnsi="Times New Roman" w:eastAsia="仿宋_GB2312" w:cs="Times New Roman"/>
                <w:color w:val="auto"/>
                <w:sz w:val="32"/>
                <w:szCs w:val="32"/>
                <w:highlight w:val="none"/>
                <w:lang w:val="en-US" w:eastAsia="zh-CN"/>
              </w:rPr>
              <w:t>投标人</w:t>
            </w:r>
            <w:r>
              <w:rPr>
                <w:rFonts w:hint="eastAsia" w:ascii="Times New Roman" w:hAnsi="Times New Roman" w:eastAsia="仿宋_GB2312" w:cs="Times New Roman"/>
                <w:color w:val="auto"/>
                <w:sz w:val="32"/>
                <w:szCs w:val="32"/>
                <w:highlight w:val="none"/>
                <w:lang w:val="en-US" w:eastAsia="zh-CN"/>
              </w:rPr>
              <w:t>应具有</w:t>
            </w:r>
            <w:r>
              <w:rPr>
                <w:rFonts w:hint="default" w:ascii="Times New Roman" w:hAnsi="Times New Roman" w:eastAsia="仿宋_GB2312" w:cs="Times New Roman"/>
                <w:color w:val="auto"/>
                <w:sz w:val="32"/>
                <w:szCs w:val="32"/>
                <w:highlight w:val="none"/>
                <w:lang w:val="zh-CN"/>
              </w:rPr>
              <w:t>完成本项目</w:t>
            </w:r>
            <w:r>
              <w:rPr>
                <w:rFonts w:hint="eastAsia" w:eastAsia="仿宋_GB2312" w:cs="Times New Roman"/>
                <w:color w:val="auto"/>
                <w:sz w:val="32"/>
                <w:szCs w:val="32"/>
                <w:highlight w:val="none"/>
                <w:lang w:val="en-US" w:eastAsia="zh-CN"/>
              </w:rPr>
              <w:t>审计决算</w:t>
            </w:r>
            <w:r>
              <w:rPr>
                <w:rFonts w:hint="default" w:ascii="Times New Roman" w:hAnsi="Times New Roman" w:eastAsia="仿宋_GB2312" w:cs="Times New Roman"/>
                <w:color w:val="auto"/>
                <w:sz w:val="32"/>
                <w:szCs w:val="32"/>
                <w:highlight w:val="none"/>
                <w:lang w:val="zh-CN"/>
              </w:rPr>
              <w:t>造价咨询的服务能力</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提供近三年来</w:t>
            </w:r>
            <w:r>
              <w:rPr>
                <w:rFonts w:hint="eastAsia" w:ascii="Times New Roman" w:hAnsi="Times New Roman" w:eastAsia="仿宋_GB2312" w:cs="Times New Roman"/>
                <w:color w:val="auto"/>
                <w:sz w:val="32"/>
                <w:szCs w:val="32"/>
                <w:highlight w:val="none"/>
                <w:lang w:val="en-US" w:eastAsia="zh-CN"/>
              </w:rPr>
              <w:t>建设工程</w:t>
            </w:r>
            <w:r>
              <w:rPr>
                <w:rFonts w:hint="default" w:ascii="Times New Roman" w:hAnsi="Times New Roman" w:eastAsia="仿宋_GB2312" w:cs="Times New Roman"/>
                <w:color w:val="auto"/>
                <w:sz w:val="32"/>
                <w:szCs w:val="32"/>
                <w:highlight w:val="none"/>
                <w:lang w:val="en-US" w:eastAsia="zh-CN"/>
              </w:rPr>
              <w:t>项目</w:t>
            </w:r>
            <w:r>
              <w:rPr>
                <w:rFonts w:hint="eastAsia" w:eastAsia="仿宋_GB2312" w:cs="Times New Roman"/>
                <w:color w:val="auto"/>
                <w:sz w:val="32"/>
                <w:szCs w:val="32"/>
                <w:highlight w:val="none"/>
                <w:lang w:val="en-US" w:eastAsia="zh-CN"/>
              </w:rPr>
              <w:t>造价咨询服务</w:t>
            </w:r>
            <w:r>
              <w:rPr>
                <w:rFonts w:hint="default" w:ascii="Times New Roman" w:hAnsi="Times New Roman" w:eastAsia="仿宋_GB2312" w:cs="Times New Roman"/>
                <w:color w:val="auto"/>
                <w:sz w:val="32"/>
                <w:szCs w:val="32"/>
                <w:highlight w:val="none"/>
                <w:lang w:val="en-US" w:eastAsia="zh-CN"/>
              </w:rPr>
              <w:t>业绩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以合同或中标通知书为准），每提供一项得</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分，</w:t>
            </w:r>
            <w:r>
              <w:rPr>
                <w:rFonts w:hint="eastAsia" w:ascii="仿宋_GB2312" w:hAnsi="仿宋_GB2312" w:eastAsia="仿宋_GB2312" w:cs="仿宋_GB2312"/>
                <w:kern w:val="2"/>
                <w:sz w:val="32"/>
                <w:szCs w:val="32"/>
                <w:lang w:val="en-US" w:eastAsia="zh-CN" w:bidi="ar-SA"/>
              </w:rPr>
              <w:t>本项最高为20分</w:t>
            </w:r>
            <w:r>
              <w:rPr>
                <w:rFonts w:hint="default" w:ascii="Times New Roman" w:hAnsi="Times New Roman" w:eastAsia="仿宋_GB2312" w:cs="Times New Roman"/>
                <w:color w:val="auto"/>
                <w:sz w:val="32"/>
                <w:szCs w:val="32"/>
                <w:lang w:val="en-US" w:eastAsia="zh-CN"/>
              </w:rPr>
              <w:t>（需提供相关合同，日期以合同签订日期为准</w:t>
            </w:r>
            <w:r>
              <w:rPr>
                <w:rFonts w:hint="eastAsia" w:ascii="Times New Roman" w:hAnsi="Times New Roman" w:eastAsia="仿宋_GB2312" w:cs="Times New Roman"/>
                <w:color w:val="auto"/>
                <w:sz w:val="32"/>
                <w:szCs w:val="32"/>
                <w:lang w:val="en-US" w:eastAsia="zh-CN"/>
              </w:rPr>
              <w:t>）。</w:t>
            </w:r>
          </w:p>
        </w:tc>
      </w:tr>
      <w:tr w14:paraId="604A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2304" w:type="dxa"/>
            <w:tcMar>
              <w:top w:w="0" w:type="dxa"/>
              <w:left w:w="0" w:type="dxa"/>
              <w:bottom w:w="0" w:type="dxa"/>
              <w:right w:w="0" w:type="dxa"/>
            </w:tcMar>
            <w:vAlign w:val="center"/>
          </w:tcPr>
          <w:p w14:paraId="08F2F164">
            <w:pPr>
              <w:keepNext w:val="0"/>
              <w:keepLines w:val="0"/>
              <w:pageBreakBefore w:val="0"/>
              <w:kinsoku/>
              <w:wordWrap/>
              <w:overflowPunct/>
              <w:topLinePunct w:val="0"/>
              <w:bidi w:val="0"/>
              <w:adjustRightInd w:val="0"/>
              <w:snapToGrid w:val="0"/>
              <w:spacing w:beforeAutospacing="0" w:afterAutospacing="0" w:line="560" w:lineRule="exact"/>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管理机构</w:t>
            </w:r>
          </w:p>
          <w:p w14:paraId="3A8718AE">
            <w:pPr>
              <w:keepNext w:val="0"/>
              <w:keepLines w:val="0"/>
              <w:pageBreakBefore w:val="0"/>
              <w:kinsoku/>
              <w:wordWrap/>
              <w:overflowPunct/>
              <w:topLinePunct w:val="0"/>
              <w:bidi w:val="0"/>
              <w:adjustRightInd w:val="0"/>
              <w:snapToGrid w:val="0"/>
              <w:spacing w:beforeAutospacing="0" w:afterAutospacing="0"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（20分）</w:t>
            </w:r>
          </w:p>
        </w:tc>
        <w:tc>
          <w:tcPr>
            <w:tcW w:w="7863" w:type="dxa"/>
            <w:tcMar>
              <w:top w:w="0" w:type="dxa"/>
              <w:left w:w="0" w:type="dxa"/>
              <w:bottom w:w="0" w:type="dxa"/>
              <w:right w:w="0" w:type="dxa"/>
            </w:tcMar>
            <w:vAlign w:val="center"/>
          </w:tcPr>
          <w:p w14:paraId="33359617">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right="0" w:rightChars="0" w:firstLine="640" w:firstLineChars="200"/>
              <w:jc w:val="both"/>
              <w:textAlignment w:val="auto"/>
              <w:rPr>
                <w:rFonts w:hint="default"/>
                <w:lang w:val="en-US" w:eastAsia="zh-CN"/>
              </w:rPr>
            </w:pPr>
            <w:r>
              <w:rPr>
                <w:rFonts w:hint="eastAsia" w:eastAsia="仿宋_GB2312" w:cs="Times New Roman"/>
                <w:color w:val="auto"/>
                <w:sz w:val="32"/>
                <w:szCs w:val="32"/>
                <w:highlight w:val="none"/>
                <w:lang w:val="en-US" w:eastAsia="zh-CN"/>
              </w:rPr>
              <w:t>除拟派项目负责人外，项目组其他人员具有</w:t>
            </w:r>
            <w:r>
              <w:rPr>
                <w:rFonts w:hint="default" w:ascii="Times New Roman" w:hAnsi="Times New Roman" w:eastAsia="仿宋_GB2312" w:cs="Times New Roman"/>
                <w:color w:val="auto"/>
                <w:sz w:val="32"/>
                <w:szCs w:val="32"/>
                <w:highlight w:val="none"/>
                <w:lang w:val="zh-CN"/>
              </w:rPr>
              <w:t>国家一级注册造价工程师</w:t>
            </w:r>
            <w:r>
              <w:rPr>
                <w:rFonts w:hint="default" w:ascii="Times New Roman" w:hAnsi="Times New Roman" w:eastAsia="仿宋_GB2312" w:cs="Times New Roman"/>
                <w:color w:val="auto"/>
                <w:sz w:val="32"/>
                <w:szCs w:val="32"/>
                <w:highlight w:val="none"/>
                <w:lang w:val="en-US" w:eastAsia="zh-CN"/>
              </w:rPr>
              <w:t>职业资格证书（土建或安装）</w:t>
            </w:r>
            <w:r>
              <w:rPr>
                <w:rFonts w:hint="eastAsia" w:ascii="Times New Roman" w:hAnsi="Times New Roman" w:eastAsia="仿宋_GB2312" w:cs="Times New Roman"/>
                <w:color w:val="auto"/>
                <w:sz w:val="32"/>
                <w:szCs w:val="32"/>
                <w:highlight w:val="none"/>
                <w:lang w:val="en-US" w:eastAsia="zh-CN"/>
              </w:rPr>
              <w:t>得</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分</w:t>
            </w:r>
            <w:r>
              <w:rPr>
                <w:rFonts w:hint="default" w:ascii="Times New Roman" w:hAnsi="Times New Roman" w:eastAsia="仿宋_GB2312" w:cs="Times New Roman"/>
                <w:color w:val="auto"/>
                <w:sz w:val="32"/>
                <w:szCs w:val="32"/>
                <w:lang w:val="zh-CN"/>
              </w:rPr>
              <w:t>；</w:t>
            </w:r>
            <w:r>
              <w:rPr>
                <w:rFonts w:hint="eastAsia" w:ascii="仿宋_GB2312" w:hAnsi="仿宋_GB2312" w:eastAsia="仿宋_GB2312" w:cs="仿宋_GB2312"/>
                <w:kern w:val="2"/>
                <w:sz w:val="32"/>
                <w:szCs w:val="32"/>
                <w:lang w:val="en-US" w:eastAsia="zh-CN" w:bidi="ar-SA"/>
              </w:rPr>
              <w:t>其他人员具有工程类或经济类中级（含）以上职称的得2.5分，本项最高为20分（需提供劳动合同、半年内社保等证明材料及证书复印件）。</w:t>
            </w:r>
          </w:p>
        </w:tc>
      </w:tr>
    </w:tbl>
    <w:p w14:paraId="492B0B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zh-CN" w:eastAsia="zh-CN"/>
        </w:rPr>
        <w:t>）推荐</w:t>
      </w:r>
      <w:r>
        <w:rPr>
          <w:rFonts w:hint="eastAsia" w:ascii="仿宋_GB2312" w:hAnsi="仿宋_GB2312" w:eastAsia="仿宋_GB2312" w:cs="仿宋_GB2312"/>
          <w:b/>
          <w:bCs/>
          <w:sz w:val="32"/>
          <w:szCs w:val="32"/>
          <w:lang w:val="en-US" w:eastAsia="zh-CN"/>
        </w:rPr>
        <w:t>中标</w:t>
      </w:r>
      <w:r>
        <w:rPr>
          <w:rFonts w:hint="eastAsia" w:ascii="仿宋_GB2312" w:hAnsi="仿宋_GB2312" w:eastAsia="仿宋_GB2312" w:cs="仿宋_GB2312"/>
          <w:b/>
          <w:bCs/>
          <w:sz w:val="32"/>
          <w:szCs w:val="32"/>
          <w:lang w:val="zh-CN" w:eastAsia="zh-CN"/>
        </w:rPr>
        <w:t>候选人</w:t>
      </w:r>
    </w:p>
    <w:p w14:paraId="3F4CB92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highlight w:val="none"/>
          <w:lang w:val="en-US" w:eastAsia="zh-CN"/>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1942AD49">
      <w:pPr>
        <w:pStyle w:val="5"/>
        <w:keepNext w:val="0"/>
        <w:keepLines w:val="0"/>
        <w:pageBreakBefore w:val="0"/>
        <w:kinsoku/>
        <w:wordWrap/>
        <w:overflowPunct/>
        <w:topLinePunct w:val="0"/>
        <w:bidi w:val="0"/>
        <w:spacing w:beforeAutospacing="0" w:after="0" w:afterAutospacing="0" w:line="560" w:lineRule="exact"/>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4C83A26F">
      <w:pPr>
        <w:keepNext w:val="0"/>
        <w:keepLines w:val="0"/>
        <w:pageBreakBefore w:val="0"/>
        <w:kinsoku/>
        <w:wordWrap/>
        <w:overflowPunct/>
        <w:topLinePunct w:val="0"/>
        <w:bidi w:val="0"/>
        <w:spacing w:beforeAutospacing="0" w:afterAutospacing="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79827C41">
      <w:pPr>
        <w:keepNext w:val="0"/>
        <w:keepLines w:val="0"/>
        <w:pageBreakBefore w:val="0"/>
        <w:kinsoku/>
        <w:wordWrap/>
        <w:overflowPunct/>
        <w:topLinePunct w:val="0"/>
        <w:autoSpaceDE/>
        <w:autoSpaceDN/>
        <w:bidi w:val="0"/>
        <w:spacing w:beforeAutospacing="0" w:afterAutospacing="0" w:line="560" w:lineRule="exact"/>
        <w:rPr>
          <w:rFonts w:hint="eastAsia" w:ascii="仿宋_GB2312" w:hAnsi="仿宋_GB2312" w:eastAsia="仿宋_GB2312" w:cs="仿宋_GB2312"/>
          <w:color w:val="auto"/>
          <w:sz w:val="32"/>
          <w:szCs w:val="32"/>
        </w:rPr>
      </w:pPr>
    </w:p>
    <w:p w14:paraId="14EECECE">
      <w:pPr>
        <w:keepNext w:val="0"/>
        <w:keepLines w:val="0"/>
        <w:pageBreakBefore w:val="0"/>
        <w:kinsoku/>
        <w:wordWrap/>
        <w:overflowPunct/>
        <w:topLinePunct w:val="0"/>
        <w:autoSpaceDE/>
        <w:autoSpaceDN/>
        <w:bidi w:val="0"/>
        <w:spacing w:beforeAutospacing="0" w:afterAutospacing="0"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1DCB5D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p>
    <w:p w14:paraId="3B00F3BA">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7ADE36ED">
      <w:pPr>
        <w:keepNext w:val="0"/>
        <w:keepLines w:val="0"/>
        <w:pageBreakBefore w:val="0"/>
        <w:kinsoku/>
        <w:wordWrap/>
        <w:overflowPunct/>
        <w:topLinePunct w:val="0"/>
        <w:autoSpaceDE/>
        <w:autoSpaceDN/>
        <w:bidi w:val="0"/>
        <w:spacing w:beforeAutospacing="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w:t>
      </w:r>
      <w:r>
        <w:rPr>
          <w:rFonts w:hint="eastAsia" w:ascii="仿宋_GB2312" w:hAnsi="仿宋_GB2312" w:eastAsia="仿宋_GB2312" w:cs="仿宋_GB2312"/>
          <w:color w:val="auto"/>
          <w:sz w:val="32"/>
          <w:szCs w:val="32"/>
          <w:lang w:eastAsia="zh-CN"/>
        </w:rPr>
        <w:t>、回扣</w:t>
      </w:r>
      <w:r>
        <w:rPr>
          <w:rFonts w:hint="eastAsia" w:ascii="仿宋_GB2312" w:hAnsi="仿宋_GB2312" w:eastAsia="仿宋_GB2312" w:cs="仿宋_GB2312"/>
          <w:color w:val="auto"/>
          <w:sz w:val="32"/>
          <w:szCs w:val="32"/>
        </w:rPr>
        <w:t>、佣金、提供旅游、娱乐活动等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142A5ECE">
      <w:pPr>
        <w:keepNext w:val="0"/>
        <w:keepLines w:val="0"/>
        <w:pageBreakBefore w:val="0"/>
        <w:kinsoku/>
        <w:wordWrap/>
        <w:overflowPunct/>
        <w:topLinePunct w:val="0"/>
        <w:autoSpaceDE/>
        <w:autoSpaceDN/>
        <w:bidi w:val="0"/>
        <w:spacing w:beforeAutospacing="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4F1133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4593EC09">
      <w:pPr>
        <w:keepNext w:val="0"/>
        <w:keepLines w:val="0"/>
        <w:pageBreakBefore w:val="0"/>
        <w:kinsoku/>
        <w:wordWrap/>
        <w:overflowPunct/>
        <w:topLinePunct w:val="0"/>
        <w:autoSpaceDE/>
        <w:autoSpaceDN/>
        <w:bidi w:val="0"/>
        <w:spacing w:beforeAutospacing="0"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077AD6EE">
      <w:pPr>
        <w:keepNext w:val="0"/>
        <w:keepLines w:val="0"/>
        <w:pageBreakBefore w:val="0"/>
        <w:kinsoku/>
        <w:wordWrap/>
        <w:overflowPunct/>
        <w:topLinePunct w:val="0"/>
        <w:bidi w:val="0"/>
        <w:spacing w:beforeAutospacing="0" w:afterAutospacing="0" w:line="560" w:lineRule="exact"/>
        <w:ind w:firstLine="6400" w:firstLineChars="2000"/>
        <w:rPr>
          <w:rFonts w:hint="eastAsia" w:ascii="仿宋_GB2312" w:hAnsi="仿宋_GB2312" w:eastAsia="仿宋_GB2312" w:cs="仿宋_GB2312"/>
          <w:sz w:val="32"/>
          <w:szCs w:val="32"/>
        </w:rPr>
      </w:pPr>
    </w:p>
    <w:p w14:paraId="056D05E8">
      <w:pPr>
        <w:keepNext w:val="0"/>
        <w:keepLines w:val="0"/>
        <w:pageBreakBefore w:val="0"/>
        <w:kinsoku/>
        <w:wordWrap/>
        <w:overflowPunct/>
        <w:topLinePunct w:val="0"/>
        <w:bidi w:val="0"/>
        <w:spacing w:beforeAutospacing="0" w:afterAutospacing="0" w:line="560" w:lineRule="exact"/>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433DD9BE">
      <w:pPr>
        <w:keepNext w:val="0"/>
        <w:keepLines w:val="0"/>
        <w:pageBreakBefore w:val="0"/>
        <w:kinsoku/>
        <w:wordWrap/>
        <w:overflowPunct/>
        <w:topLinePunct w:val="0"/>
        <w:bidi w:val="0"/>
        <w:spacing w:beforeAutospacing="0" w:afterAutospacing="0" w:line="560" w:lineRule="exact"/>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eastAsia="zh-CN"/>
        </w:rPr>
        <w:t>：</w:t>
      </w: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F98C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A2B085">
                          <w:pPr>
                            <w:pStyle w:val="11"/>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8A2B085">
                    <w:pPr>
                      <w:pStyle w:val="11"/>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8"/>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zYWQzNzRlYzk0ZGIyM2FhN2IwNThhOTg0NGY0ZTQifQ=="/>
    <w:docVar w:name="KSO_WPS_MARK_KEY" w:val="e10be619-05dc-41cf-93cb-fd70e9d7f3f3"/>
  </w:docVars>
  <w:rsids>
    <w:rsidRoot w:val="00172A27"/>
    <w:rsid w:val="021F3967"/>
    <w:rsid w:val="033A76CC"/>
    <w:rsid w:val="03B12072"/>
    <w:rsid w:val="03B804CE"/>
    <w:rsid w:val="04760788"/>
    <w:rsid w:val="0477594A"/>
    <w:rsid w:val="05A85867"/>
    <w:rsid w:val="06290379"/>
    <w:rsid w:val="065A0AB0"/>
    <w:rsid w:val="07FF36BC"/>
    <w:rsid w:val="08FA50E4"/>
    <w:rsid w:val="0A2C0437"/>
    <w:rsid w:val="0BFD4952"/>
    <w:rsid w:val="0C9615C8"/>
    <w:rsid w:val="0CCD190C"/>
    <w:rsid w:val="0D9A6742"/>
    <w:rsid w:val="0DCD1AE2"/>
    <w:rsid w:val="0F1958F7"/>
    <w:rsid w:val="0F6C487D"/>
    <w:rsid w:val="100B7DD6"/>
    <w:rsid w:val="117E16C8"/>
    <w:rsid w:val="12277102"/>
    <w:rsid w:val="126E269F"/>
    <w:rsid w:val="14DE1D5E"/>
    <w:rsid w:val="16262886"/>
    <w:rsid w:val="178A3202"/>
    <w:rsid w:val="17A51BCE"/>
    <w:rsid w:val="1BD6553D"/>
    <w:rsid w:val="1CEB654E"/>
    <w:rsid w:val="1D9A07EC"/>
    <w:rsid w:val="1DC22489"/>
    <w:rsid w:val="1E6710C6"/>
    <w:rsid w:val="1F332CA6"/>
    <w:rsid w:val="1F9D1E18"/>
    <w:rsid w:val="21AE4866"/>
    <w:rsid w:val="22286977"/>
    <w:rsid w:val="22900BB2"/>
    <w:rsid w:val="234B5C3C"/>
    <w:rsid w:val="23EE3640"/>
    <w:rsid w:val="23FB7198"/>
    <w:rsid w:val="250B339C"/>
    <w:rsid w:val="27BF38CF"/>
    <w:rsid w:val="283F1AED"/>
    <w:rsid w:val="28B62672"/>
    <w:rsid w:val="28C17575"/>
    <w:rsid w:val="29E1276B"/>
    <w:rsid w:val="2B481AA5"/>
    <w:rsid w:val="2BC62952"/>
    <w:rsid w:val="2D2817A7"/>
    <w:rsid w:val="2EC3522E"/>
    <w:rsid w:val="309143F1"/>
    <w:rsid w:val="30F01DD2"/>
    <w:rsid w:val="316D7C73"/>
    <w:rsid w:val="331104CE"/>
    <w:rsid w:val="333548FA"/>
    <w:rsid w:val="334A60BF"/>
    <w:rsid w:val="33D83E81"/>
    <w:rsid w:val="35A57E97"/>
    <w:rsid w:val="366D7797"/>
    <w:rsid w:val="36EC5FD8"/>
    <w:rsid w:val="36F97CBD"/>
    <w:rsid w:val="371D5052"/>
    <w:rsid w:val="371E47CE"/>
    <w:rsid w:val="38852DC7"/>
    <w:rsid w:val="396F1F22"/>
    <w:rsid w:val="39B06AF4"/>
    <w:rsid w:val="3A647D60"/>
    <w:rsid w:val="3ACD7513"/>
    <w:rsid w:val="3B930354"/>
    <w:rsid w:val="3BFE6232"/>
    <w:rsid w:val="3C5F6C89"/>
    <w:rsid w:val="3D1D6AF8"/>
    <w:rsid w:val="3DE60FB3"/>
    <w:rsid w:val="3E5548D7"/>
    <w:rsid w:val="4070746C"/>
    <w:rsid w:val="438D7307"/>
    <w:rsid w:val="44BB1AF2"/>
    <w:rsid w:val="454A3AE3"/>
    <w:rsid w:val="461026EE"/>
    <w:rsid w:val="464042EF"/>
    <w:rsid w:val="47B42BE7"/>
    <w:rsid w:val="47FB2A68"/>
    <w:rsid w:val="4A126E2F"/>
    <w:rsid w:val="4A3D2009"/>
    <w:rsid w:val="4A9B4F45"/>
    <w:rsid w:val="4B2116C3"/>
    <w:rsid w:val="4FDC1809"/>
    <w:rsid w:val="54A17FFB"/>
    <w:rsid w:val="589C7FC2"/>
    <w:rsid w:val="596040BD"/>
    <w:rsid w:val="59893E86"/>
    <w:rsid w:val="5ABE4F86"/>
    <w:rsid w:val="5C327A9E"/>
    <w:rsid w:val="5CD1784E"/>
    <w:rsid w:val="5CF873CF"/>
    <w:rsid w:val="61215F42"/>
    <w:rsid w:val="629E645C"/>
    <w:rsid w:val="62F72DBF"/>
    <w:rsid w:val="63B41DA5"/>
    <w:rsid w:val="64555C7B"/>
    <w:rsid w:val="655F1E1A"/>
    <w:rsid w:val="66374F8A"/>
    <w:rsid w:val="663911C6"/>
    <w:rsid w:val="673A3157"/>
    <w:rsid w:val="68DC3034"/>
    <w:rsid w:val="68F608D3"/>
    <w:rsid w:val="6BA97B57"/>
    <w:rsid w:val="6CAC04F4"/>
    <w:rsid w:val="6E34121C"/>
    <w:rsid w:val="70722F5B"/>
    <w:rsid w:val="70755836"/>
    <w:rsid w:val="70D44079"/>
    <w:rsid w:val="768D3F82"/>
    <w:rsid w:val="77E57406"/>
    <w:rsid w:val="78084DD5"/>
    <w:rsid w:val="78283BA0"/>
    <w:rsid w:val="78B239AC"/>
    <w:rsid w:val="79071AD5"/>
    <w:rsid w:val="79DA0070"/>
    <w:rsid w:val="79E97840"/>
    <w:rsid w:val="7B95779E"/>
    <w:rsid w:val="7BBB347F"/>
    <w:rsid w:val="7C222C76"/>
    <w:rsid w:val="7C2E19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8">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9">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qFormat/>
    <w:uiPriority w:val="0"/>
    <w:pPr>
      <w:jc w:val="center"/>
    </w:pPr>
    <w:rPr>
      <w:rFonts w:ascii="Times New Roman" w:hAnsi="Times New Roman" w:eastAsia="黑体" w:cs="Times New Roman"/>
      <w:sz w:val="36"/>
      <w:szCs w:val="20"/>
    </w:rPr>
  </w:style>
  <w:style w:type="paragraph" w:styleId="4">
    <w:name w:val="Body Text 2"/>
    <w:basedOn w:val="1"/>
    <w:qFormat/>
    <w:uiPriority w:val="0"/>
    <w:pPr>
      <w:spacing w:line="480" w:lineRule="auto"/>
    </w:pPr>
    <w:rPr>
      <w:rFonts w:ascii="Times New Roman" w:hAnsi="Times New Roman" w:eastAsia="宋体" w:cs="Times New Roman"/>
    </w:rPr>
  </w:style>
  <w:style w:type="paragraph" w:styleId="5">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paragraph" w:styleId="6">
    <w:name w:val="Body Text Indent"/>
    <w:basedOn w:val="1"/>
    <w:next w:val="7"/>
    <w:qFormat/>
    <w:uiPriority w:val="99"/>
    <w:pPr>
      <w:spacing w:after="120"/>
      <w:ind w:left="420" w:leftChars="200"/>
    </w:pPr>
  </w:style>
  <w:style w:type="paragraph" w:styleId="7">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10">
    <w:name w:val="Plain Text"/>
    <w:basedOn w:val="1"/>
    <w:qFormat/>
    <w:uiPriority w:val="0"/>
    <w:rPr>
      <w:sz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character" w:styleId="16">
    <w:name w:val="Hyperlink"/>
    <w:basedOn w:val="15"/>
    <w:qFormat/>
    <w:uiPriority w:val="0"/>
    <w:rPr>
      <w:color w:val="0000FF"/>
      <w:u w:val="single"/>
    </w:rPr>
  </w:style>
  <w:style w:type="paragraph" w:customStyle="1" w:styleId="17">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8">
    <w:name w:val="Body Text First Indent"/>
    <w:basedOn w:val="3"/>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eb03c4-dd5b-483a-a183-5c046d6286bb}">
  <ds:schemaRefs/>
</ds:datastoreItem>
</file>

<file path=docProps/app.xml><?xml version="1.0" encoding="utf-8"?>
<Properties xmlns="http://schemas.openxmlformats.org/officeDocument/2006/extended-properties" xmlns:vt="http://schemas.openxmlformats.org/officeDocument/2006/docPropsVTypes">
  <Template>Normal.dotm</Template>
  <Pages>4</Pages>
  <Words>705</Words>
  <Characters>737</Characters>
  <Lines>0</Lines>
  <Paragraphs>0</Paragraphs>
  <TotalTime>7</TotalTime>
  <ScaleCrop>false</ScaleCrop>
  <LinksUpToDate>false</LinksUpToDate>
  <CharactersWithSpaces>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2026-07-28T00:12:51Z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0AFC85BDE47844239412ED2EB13845F3_13</vt:lpwstr>
  </property>
  <property fmtid="{D5CDD505-2E9C-101B-9397-08002B2CF9AE}" pid="4" name="commondata">
    <vt:lpwstr>eyJoZGlkIjoiN2I0NDMxMDhhNzIxZjIxM2FiMjFkZWExNzY4MTY3OTUifQ==</vt:lpwstr>
  </property>
  <property fmtid="{D5CDD505-2E9C-101B-9397-08002B2CF9AE}" pid="5" name="KSOTemplateDocerSaveRecord">
    <vt:lpwstr>eyJoZGlkIjoiN2I0NDMxMDhhNzIxZjIxM2FiMjFkZWExNzY4MTY3OTUiLCJ1c2VySWQiOiIxNjk0MzU0NCJ9</vt:lpwstr>
  </property>
</Properties>
</file>