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373EF">
      <w:pPr>
        <w:rPr>
          <w:rFonts w:hint="eastAsia" w:ascii="仿宋_GB2312" w:hAnsi="仿宋_GB2312" w:eastAsia="仿宋_GB2312" w:cs="仿宋_GB2312"/>
          <w:sz w:val="32"/>
          <w:szCs w:val="32"/>
          <w:highlight w:val="none"/>
          <w:lang w:val="en-US" w:eastAsia="zh-CN"/>
        </w:rPr>
      </w:pPr>
      <w:bookmarkStart w:id="0" w:name="_GoBack"/>
      <w:bookmarkEnd w:id="0"/>
      <w:r>
        <w:rPr>
          <w:rFonts w:hint="eastAsia" w:ascii="仿宋_GB2312" w:hAnsi="仿宋_GB2312" w:eastAsia="仿宋_GB2312" w:cs="仿宋_GB2312"/>
          <w:sz w:val="32"/>
          <w:szCs w:val="32"/>
          <w:highlight w:val="none"/>
          <w:lang w:val="en-US" w:eastAsia="zh-CN"/>
        </w:rPr>
        <w:t>附件1：报价单（含税）</w:t>
      </w:r>
    </w:p>
    <w:p w14:paraId="79D16592">
      <w:pPr>
        <w:rPr>
          <w:rFonts w:hint="eastAsia" w:ascii="仿宋_GB2312" w:hAnsi="仿宋_GB2312" w:eastAsia="仿宋_GB2312" w:cs="仿宋_GB2312"/>
          <w:sz w:val="32"/>
          <w:szCs w:val="32"/>
          <w:highlight w:val="none"/>
          <w:lang w:val="en-US" w:eastAsia="zh-CN"/>
        </w:rPr>
      </w:pPr>
    </w:p>
    <w:tbl>
      <w:tblPr>
        <w:tblStyle w:val="14"/>
        <w:tblW w:w="9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5"/>
        <w:gridCol w:w="2255"/>
        <w:gridCol w:w="3344"/>
        <w:gridCol w:w="965"/>
        <w:gridCol w:w="723"/>
        <w:gridCol w:w="723"/>
      </w:tblGrid>
      <w:tr w14:paraId="1816D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140" w:type="dxa"/>
            <w:gridSpan w:val="6"/>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F7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许昌市胖东来生活服务圈城市公共空间功能提升连通工程—中心城区道路提升改造</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项目（东城区）</w:t>
            </w:r>
          </w:p>
        </w:tc>
      </w:tr>
      <w:tr w14:paraId="583EE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140"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7C69B">
            <w:pPr>
              <w:jc w:val="center"/>
              <w:rPr>
                <w:rFonts w:hint="eastAsia" w:ascii="宋体" w:hAnsi="宋体" w:eastAsia="宋体" w:cs="宋体"/>
                <w:i w:val="0"/>
                <w:iCs w:val="0"/>
                <w:color w:val="000000"/>
                <w:sz w:val="24"/>
                <w:szCs w:val="24"/>
                <w:u w:val="none"/>
              </w:rPr>
            </w:pPr>
          </w:p>
        </w:tc>
      </w:tr>
      <w:tr w14:paraId="64DB8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6AF4AF69">
            <w:pPr>
              <w:rPr>
                <w:rFonts w:hint="eastAsia" w:ascii="宋体" w:hAnsi="宋体" w:eastAsia="宋体" w:cs="宋体"/>
                <w:i w:val="0"/>
                <w:iCs w:val="0"/>
                <w:color w:val="000000"/>
                <w:sz w:val="24"/>
                <w:szCs w:val="24"/>
                <w:u w:val="none"/>
              </w:rPr>
            </w:pPr>
          </w:p>
        </w:tc>
        <w:tc>
          <w:tcPr>
            <w:tcW w:w="2164" w:type="dxa"/>
            <w:tcBorders>
              <w:top w:val="nil"/>
              <w:left w:val="single" w:color="000000" w:sz="4" w:space="0"/>
              <w:bottom w:val="single" w:color="000000" w:sz="4" w:space="0"/>
              <w:right w:val="single" w:color="000000" w:sz="4" w:space="0"/>
            </w:tcBorders>
            <w:shd w:val="clear" w:color="auto" w:fill="FFFFFF"/>
            <w:vAlign w:val="center"/>
          </w:tcPr>
          <w:p w14:paraId="01164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w:t>
            </w:r>
          </w:p>
        </w:tc>
        <w:tc>
          <w:tcPr>
            <w:tcW w:w="3209" w:type="dxa"/>
            <w:tcBorders>
              <w:top w:val="nil"/>
              <w:left w:val="single" w:color="000000" w:sz="4" w:space="0"/>
              <w:bottom w:val="single" w:color="000000" w:sz="4" w:space="0"/>
              <w:right w:val="single" w:color="000000" w:sz="4" w:space="0"/>
            </w:tcBorders>
            <w:shd w:val="clear" w:color="auto" w:fill="auto"/>
            <w:vAlign w:val="center"/>
          </w:tcPr>
          <w:p w14:paraId="320C16D3">
            <w:pPr>
              <w:rPr>
                <w:rFonts w:hint="eastAsia" w:ascii="宋体" w:hAnsi="宋体" w:eastAsia="宋体" w:cs="宋体"/>
                <w:i w:val="0"/>
                <w:iCs w:val="0"/>
                <w:color w:val="000000"/>
                <w:sz w:val="24"/>
                <w:szCs w:val="24"/>
                <w:u w:val="none"/>
              </w:rPr>
            </w:pP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0297C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09CB93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0" w:type="auto"/>
            <w:tcBorders>
              <w:top w:val="nil"/>
              <w:left w:val="single" w:color="000000" w:sz="4" w:space="0"/>
              <w:bottom w:val="single" w:color="000000" w:sz="4" w:space="0"/>
              <w:right w:val="single" w:color="000000" w:sz="4" w:space="0"/>
            </w:tcBorders>
            <w:shd w:val="clear" w:color="auto" w:fill="auto"/>
            <w:noWrap/>
            <w:vAlign w:val="center"/>
          </w:tcPr>
          <w:p w14:paraId="40A3AC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总价</w:t>
            </w:r>
          </w:p>
        </w:tc>
      </w:tr>
      <w:tr w14:paraId="19396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8D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AC-13C沥青面层</w:t>
            </w: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93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细集料石屑（0-5mm）</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C49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每批检验代表数量不得超过400m³或600T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12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BDFF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B4ADC">
            <w:pPr>
              <w:rPr>
                <w:rFonts w:hint="eastAsia" w:ascii="宋体" w:hAnsi="宋体" w:eastAsia="宋体" w:cs="宋体"/>
                <w:i w:val="0"/>
                <w:iCs w:val="0"/>
                <w:color w:val="000000"/>
                <w:sz w:val="24"/>
                <w:szCs w:val="24"/>
                <w:u w:val="none"/>
              </w:rPr>
            </w:pPr>
          </w:p>
        </w:tc>
      </w:tr>
      <w:tr w14:paraId="6F6A4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97668">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80E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碎石</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38E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每批检验代表数量不得超过400m³或600T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top"/>
          </w:tcPr>
          <w:p w14:paraId="647B5D3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1FFF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3941">
            <w:pPr>
              <w:rPr>
                <w:rFonts w:hint="eastAsia" w:ascii="宋体" w:hAnsi="宋体" w:eastAsia="宋体" w:cs="宋体"/>
                <w:i w:val="0"/>
                <w:iCs w:val="0"/>
                <w:color w:val="000000"/>
                <w:sz w:val="24"/>
                <w:szCs w:val="24"/>
                <w:u w:val="none"/>
              </w:rPr>
            </w:pPr>
          </w:p>
        </w:tc>
      </w:tr>
      <w:tr w14:paraId="14254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4658F">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2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米石</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0DA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每批检验代表数量不得超过400m³或600T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top"/>
          </w:tcPr>
          <w:p w14:paraId="30CA4D9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93D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4C851">
            <w:pPr>
              <w:rPr>
                <w:rFonts w:hint="eastAsia" w:ascii="宋体" w:hAnsi="宋体" w:eastAsia="宋体" w:cs="宋体"/>
                <w:i w:val="0"/>
                <w:iCs w:val="0"/>
                <w:color w:val="000000"/>
                <w:sz w:val="24"/>
                <w:szCs w:val="24"/>
                <w:u w:val="none"/>
              </w:rPr>
            </w:pPr>
          </w:p>
        </w:tc>
      </w:tr>
      <w:tr w14:paraId="4BB7E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3C908">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3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AH-70沥青油</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09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每批检验代表数量不得超过500T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top"/>
          </w:tcPr>
          <w:p w14:paraId="52431F3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DE2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CE861">
            <w:pPr>
              <w:rPr>
                <w:rFonts w:hint="eastAsia" w:ascii="宋体" w:hAnsi="宋体" w:eastAsia="宋体" w:cs="宋体"/>
                <w:i w:val="0"/>
                <w:iCs w:val="0"/>
                <w:color w:val="000000"/>
                <w:sz w:val="24"/>
                <w:szCs w:val="24"/>
                <w:u w:val="none"/>
              </w:rPr>
            </w:pPr>
          </w:p>
        </w:tc>
      </w:tr>
      <w:tr w14:paraId="08803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75B17">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B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矿粉</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EC5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每批检验代表数量不得超过100T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top"/>
          </w:tcPr>
          <w:p w14:paraId="2C27233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495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283CD">
            <w:pPr>
              <w:rPr>
                <w:rFonts w:hint="eastAsia" w:ascii="宋体" w:hAnsi="宋体" w:eastAsia="宋体" w:cs="宋体"/>
                <w:i w:val="0"/>
                <w:iCs w:val="0"/>
                <w:color w:val="000000"/>
                <w:sz w:val="24"/>
                <w:szCs w:val="24"/>
                <w:u w:val="none"/>
              </w:rPr>
            </w:pPr>
          </w:p>
        </w:tc>
      </w:tr>
      <w:tr w14:paraId="00606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2154">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48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乳化沥青</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CF0A9">
            <w:pPr>
              <w:jc w:val="left"/>
              <w:rPr>
                <w:rFonts w:hint="eastAsia" w:ascii="宋体" w:hAnsi="宋体" w:eastAsia="宋体" w:cs="宋体"/>
                <w:i w:val="0"/>
                <w:iCs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top"/>
          </w:tcPr>
          <w:p w14:paraId="4E046D9D">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EE50D">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B4D6">
            <w:pPr>
              <w:rPr>
                <w:rFonts w:hint="eastAsia" w:ascii="宋体" w:hAnsi="宋体" w:eastAsia="宋体" w:cs="宋体"/>
                <w:i w:val="0"/>
                <w:iCs w:val="0"/>
                <w:color w:val="000000"/>
                <w:sz w:val="24"/>
                <w:szCs w:val="24"/>
                <w:u w:val="none"/>
              </w:rPr>
            </w:pPr>
          </w:p>
        </w:tc>
      </w:tr>
      <w:tr w14:paraId="2AA43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DC157">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E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沥青配合比</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55E81">
            <w:pPr>
              <w:jc w:val="left"/>
              <w:rPr>
                <w:rFonts w:hint="eastAsia" w:ascii="宋体" w:hAnsi="宋体" w:eastAsia="宋体" w:cs="宋体"/>
                <w:i w:val="0"/>
                <w:iCs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top"/>
          </w:tcPr>
          <w:p w14:paraId="0A8FDB8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A500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9B26">
            <w:pPr>
              <w:rPr>
                <w:rFonts w:hint="eastAsia" w:ascii="宋体" w:hAnsi="宋体" w:eastAsia="宋体" w:cs="宋体"/>
                <w:i w:val="0"/>
                <w:iCs w:val="0"/>
                <w:color w:val="000000"/>
                <w:sz w:val="24"/>
                <w:szCs w:val="24"/>
                <w:u w:val="none"/>
              </w:rPr>
            </w:pPr>
          </w:p>
        </w:tc>
      </w:tr>
      <w:tr w14:paraId="0C45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BBB2">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BA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马歇尔稳定度试验</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72FA">
            <w:pPr>
              <w:jc w:val="left"/>
              <w:rPr>
                <w:rFonts w:hint="eastAsia" w:ascii="宋体" w:hAnsi="宋体" w:eastAsia="宋体" w:cs="宋体"/>
                <w:i w:val="0"/>
                <w:iCs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top"/>
          </w:tcPr>
          <w:p w14:paraId="533BF10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3B14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AA08C">
            <w:pPr>
              <w:rPr>
                <w:rFonts w:hint="eastAsia" w:ascii="宋体" w:hAnsi="宋体" w:eastAsia="宋体" w:cs="宋体"/>
                <w:i w:val="0"/>
                <w:iCs w:val="0"/>
                <w:color w:val="000000"/>
                <w:sz w:val="24"/>
                <w:szCs w:val="24"/>
                <w:u w:val="none"/>
              </w:rPr>
            </w:pPr>
          </w:p>
        </w:tc>
      </w:tr>
      <w:tr w14:paraId="618BA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300FC">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12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油石比</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D598">
            <w:pPr>
              <w:jc w:val="left"/>
              <w:rPr>
                <w:rFonts w:hint="eastAsia" w:ascii="宋体" w:hAnsi="宋体" w:eastAsia="宋体" w:cs="宋体"/>
                <w:i w:val="0"/>
                <w:iCs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top"/>
          </w:tcPr>
          <w:p w14:paraId="4E174043">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7EA2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70FD5">
            <w:pPr>
              <w:rPr>
                <w:rFonts w:hint="eastAsia" w:ascii="宋体" w:hAnsi="宋体" w:eastAsia="宋体" w:cs="宋体"/>
                <w:i w:val="0"/>
                <w:iCs w:val="0"/>
                <w:color w:val="000000"/>
                <w:sz w:val="24"/>
                <w:szCs w:val="24"/>
                <w:u w:val="none"/>
              </w:rPr>
            </w:pPr>
          </w:p>
        </w:tc>
      </w:tr>
      <w:tr w14:paraId="76169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FAC69">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04F3">
            <w:pPr>
              <w:jc w:val="center"/>
              <w:rPr>
                <w:rFonts w:hint="eastAsia" w:ascii="宋体" w:hAnsi="宋体" w:eastAsia="宋体" w:cs="宋体"/>
                <w:i w:val="0"/>
                <w:iCs w:val="0"/>
                <w:color w:val="000000"/>
                <w:sz w:val="24"/>
                <w:szCs w:val="24"/>
                <w:u w:val="none"/>
              </w:rPr>
            </w:pP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15053">
            <w:pPr>
              <w:jc w:val="left"/>
              <w:rPr>
                <w:rFonts w:hint="eastAsia" w:ascii="宋体" w:hAnsi="宋体" w:eastAsia="宋体" w:cs="宋体"/>
                <w:i w:val="0"/>
                <w:iCs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top"/>
          </w:tcPr>
          <w:p w14:paraId="6C502AE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AA85E">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E949">
            <w:pPr>
              <w:rPr>
                <w:rFonts w:hint="eastAsia" w:ascii="宋体" w:hAnsi="宋体" w:eastAsia="宋体" w:cs="宋体"/>
                <w:i w:val="0"/>
                <w:iCs w:val="0"/>
                <w:color w:val="000000"/>
                <w:sz w:val="24"/>
                <w:szCs w:val="24"/>
                <w:u w:val="none"/>
              </w:rPr>
            </w:pPr>
          </w:p>
        </w:tc>
      </w:tr>
      <w:tr w14:paraId="01A78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501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5%水泥稳定碎石基层</w:t>
            </w: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52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水泥常规试验</w:t>
            </w:r>
          </w:p>
        </w:tc>
        <w:tc>
          <w:tcPr>
            <w:tcW w:w="32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BC201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同厂家、同等级、同品种、同批号且连续进场的水泥，袋装不超过200T为一批，散装不超过500T为一批，每批抽样不少于1次</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68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7EA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469E0">
            <w:pPr>
              <w:rPr>
                <w:rFonts w:hint="eastAsia" w:ascii="宋体" w:hAnsi="宋体" w:eastAsia="宋体" w:cs="宋体"/>
                <w:i w:val="0"/>
                <w:iCs w:val="0"/>
                <w:color w:val="000000"/>
                <w:sz w:val="24"/>
                <w:szCs w:val="24"/>
                <w:u w:val="none"/>
              </w:rPr>
            </w:pPr>
          </w:p>
        </w:tc>
      </w:tr>
      <w:tr w14:paraId="44A00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FB6E0">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DFA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42.5</w:t>
            </w:r>
          </w:p>
        </w:tc>
        <w:tc>
          <w:tcPr>
            <w:tcW w:w="32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40E27">
            <w:pPr>
              <w:jc w:val="left"/>
              <w:rPr>
                <w:rFonts w:hint="eastAsia" w:ascii="宋体" w:hAnsi="宋体" w:eastAsia="宋体" w:cs="宋体"/>
                <w:i w:val="0"/>
                <w:iCs w:val="0"/>
                <w:color w:val="000000"/>
                <w:sz w:val="24"/>
                <w:szCs w:val="24"/>
                <w:u w:val="none"/>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85CC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CA16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EF14D">
            <w:pPr>
              <w:rPr>
                <w:rFonts w:hint="eastAsia" w:ascii="宋体" w:hAnsi="宋体" w:eastAsia="宋体" w:cs="宋体"/>
                <w:i w:val="0"/>
                <w:iCs w:val="0"/>
                <w:color w:val="000000"/>
                <w:sz w:val="24"/>
                <w:szCs w:val="24"/>
                <w:u w:val="none"/>
              </w:rPr>
            </w:pPr>
          </w:p>
        </w:tc>
      </w:tr>
      <w:tr w14:paraId="0E9D0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DCA58">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0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碎石常规</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2EF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同规格400m³或600T为验收批，不足400m³或600T也为一批</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1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1C8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33DC">
            <w:pPr>
              <w:rPr>
                <w:rFonts w:hint="eastAsia" w:ascii="宋体" w:hAnsi="宋体" w:eastAsia="宋体" w:cs="宋体"/>
                <w:i w:val="0"/>
                <w:iCs w:val="0"/>
                <w:color w:val="000000"/>
                <w:sz w:val="24"/>
                <w:szCs w:val="24"/>
                <w:u w:val="none"/>
              </w:rPr>
            </w:pPr>
          </w:p>
        </w:tc>
      </w:tr>
      <w:tr w14:paraId="48DEA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68EE">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6E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5%水泥稳定碎石配合比</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936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每种类型1批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99E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F6B2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0FC57">
            <w:pPr>
              <w:rPr>
                <w:rFonts w:hint="eastAsia" w:ascii="宋体" w:hAnsi="宋体" w:eastAsia="宋体" w:cs="宋体"/>
                <w:i w:val="0"/>
                <w:iCs w:val="0"/>
                <w:color w:val="000000"/>
                <w:sz w:val="24"/>
                <w:szCs w:val="24"/>
                <w:u w:val="none"/>
              </w:rPr>
            </w:pPr>
          </w:p>
        </w:tc>
      </w:tr>
      <w:tr w14:paraId="2BFFF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C9B8">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B6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击 实</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97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每种类型1批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54C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B11D">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6959B">
            <w:pPr>
              <w:rPr>
                <w:rFonts w:hint="eastAsia" w:ascii="宋体" w:hAnsi="宋体" w:eastAsia="宋体" w:cs="宋体"/>
                <w:i w:val="0"/>
                <w:iCs w:val="0"/>
                <w:color w:val="000000"/>
                <w:sz w:val="24"/>
                <w:szCs w:val="24"/>
                <w:u w:val="none"/>
              </w:rPr>
            </w:pPr>
          </w:p>
        </w:tc>
      </w:tr>
      <w:tr w14:paraId="1C173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2DD2">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74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曲线</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717B">
            <w:pPr>
              <w:jc w:val="left"/>
              <w:rPr>
                <w:rFonts w:hint="eastAsia" w:ascii="宋体" w:hAnsi="宋体" w:eastAsia="宋体" w:cs="宋体"/>
                <w:i w:val="0"/>
                <w:iCs w:val="0"/>
                <w:color w:val="000000"/>
                <w:sz w:val="24"/>
                <w:szCs w:val="24"/>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7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54655">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FE199">
            <w:pPr>
              <w:rPr>
                <w:rFonts w:hint="eastAsia" w:ascii="宋体" w:hAnsi="宋体" w:eastAsia="宋体" w:cs="宋体"/>
                <w:i w:val="0"/>
                <w:iCs w:val="0"/>
                <w:color w:val="000000"/>
                <w:sz w:val="24"/>
                <w:szCs w:val="24"/>
                <w:u w:val="none"/>
              </w:rPr>
            </w:pPr>
          </w:p>
        </w:tc>
      </w:tr>
      <w:tr w14:paraId="7E6AC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5E4F">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91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水泥剂量</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31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2000㎡/1点</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557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4516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621E7">
            <w:pPr>
              <w:rPr>
                <w:rFonts w:hint="eastAsia" w:ascii="宋体" w:hAnsi="宋体" w:eastAsia="宋体" w:cs="宋体"/>
                <w:i w:val="0"/>
                <w:iCs w:val="0"/>
                <w:color w:val="000000"/>
                <w:sz w:val="24"/>
                <w:szCs w:val="24"/>
                <w:u w:val="none"/>
              </w:rPr>
            </w:pPr>
          </w:p>
        </w:tc>
      </w:tr>
      <w:tr w14:paraId="1D001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3CC4">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0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7d无侧限抗压</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3A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2000㎡/1组</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3F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21D6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533E5">
            <w:pPr>
              <w:rPr>
                <w:rFonts w:hint="eastAsia" w:ascii="宋体" w:hAnsi="宋体" w:eastAsia="宋体" w:cs="宋体"/>
                <w:i w:val="0"/>
                <w:iCs w:val="0"/>
                <w:color w:val="000000"/>
                <w:sz w:val="24"/>
                <w:szCs w:val="24"/>
                <w:u w:val="none"/>
              </w:rPr>
            </w:pPr>
          </w:p>
        </w:tc>
      </w:tr>
      <w:tr w14:paraId="412A4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F737">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8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压实度</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3F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1000㎡/1点</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43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5636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D6D33">
            <w:pPr>
              <w:rPr>
                <w:rFonts w:hint="eastAsia" w:ascii="宋体" w:hAnsi="宋体" w:eastAsia="宋体" w:cs="宋体"/>
                <w:i w:val="0"/>
                <w:iCs w:val="0"/>
                <w:color w:val="000000"/>
                <w:sz w:val="24"/>
                <w:szCs w:val="24"/>
                <w:u w:val="none"/>
              </w:rPr>
            </w:pPr>
          </w:p>
        </w:tc>
      </w:tr>
      <w:tr w14:paraId="0D5BD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2C5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透水砖</w:t>
            </w: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90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再生步砖C40</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C7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2万块1组</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7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1CA4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3645A">
            <w:pPr>
              <w:rPr>
                <w:rFonts w:hint="eastAsia" w:ascii="宋体" w:hAnsi="宋体" w:eastAsia="宋体" w:cs="宋体"/>
                <w:i w:val="0"/>
                <w:iCs w:val="0"/>
                <w:color w:val="000000"/>
                <w:sz w:val="24"/>
                <w:szCs w:val="24"/>
                <w:u w:val="none"/>
              </w:rPr>
            </w:pPr>
          </w:p>
        </w:tc>
      </w:tr>
      <w:tr w14:paraId="5D74A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353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垫 层</w:t>
            </w: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3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砂常规试验</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top"/>
          </w:tcPr>
          <w:p w14:paraId="00D3AFF8">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规格400m³或600T为验收批，不足400m³或600T也为一批</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6D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FDB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369A">
            <w:pPr>
              <w:rPr>
                <w:rFonts w:hint="eastAsia" w:ascii="宋体" w:hAnsi="宋体" w:eastAsia="宋体" w:cs="宋体"/>
                <w:i w:val="0"/>
                <w:iCs w:val="0"/>
                <w:color w:val="000000"/>
                <w:sz w:val="24"/>
                <w:szCs w:val="24"/>
                <w:u w:val="none"/>
              </w:rPr>
            </w:pPr>
          </w:p>
        </w:tc>
      </w:tr>
      <w:tr w14:paraId="5458E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0602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M7.5水泥砂浆</w:t>
            </w: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C0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砂常规试验</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top"/>
          </w:tcPr>
          <w:p w14:paraId="4958EC14">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规格400m³或600T为验收批，不足400m³或600T也为一批</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EAF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5446E">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892A1">
            <w:pPr>
              <w:rPr>
                <w:rFonts w:hint="eastAsia" w:ascii="宋体" w:hAnsi="宋体" w:eastAsia="宋体" w:cs="宋体"/>
                <w:i w:val="0"/>
                <w:iCs w:val="0"/>
                <w:color w:val="000000"/>
                <w:sz w:val="24"/>
                <w:szCs w:val="24"/>
                <w:u w:val="none"/>
              </w:rPr>
            </w:pPr>
          </w:p>
        </w:tc>
      </w:tr>
      <w:tr w14:paraId="00D56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41B98">
            <w:pPr>
              <w:jc w:val="center"/>
              <w:rPr>
                <w:rFonts w:hint="eastAsia" w:ascii="宋体" w:hAnsi="宋体" w:eastAsia="宋体" w:cs="宋体"/>
                <w:i w:val="0"/>
                <w:iCs w:val="0"/>
                <w:color w:val="000000"/>
                <w:sz w:val="28"/>
                <w:szCs w:val="28"/>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4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水泥常规试验</w:t>
            </w:r>
          </w:p>
        </w:tc>
        <w:tc>
          <w:tcPr>
            <w:tcW w:w="3209"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DB9993C">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同厂家、同等级、同品种、同批号且连续进场的水泥，袋装不超过200T为一批，散装不超过500T为一批，每批抽样不少于1次</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0A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B920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781A">
            <w:pPr>
              <w:rPr>
                <w:rFonts w:hint="eastAsia" w:ascii="宋体" w:hAnsi="宋体" w:eastAsia="宋体" w:cs="宋体"/>
                <w:i w:val="0"/>
                <w:iCs w:val="0"/>
                <w:color w:val="000000"/>
                <w:sz w:val="24"/>
                <w:szCs w:val="24"/>
                <w:u w:val="none"/>
              </w:rPr>
            </w:pPr>
          </w:p>
        </w:tc>
      </w:tr>
      <w:tr w14:paraId="69C3A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BBF40">
            <w:pPr>
              <w:jc w:val="center"/>
              <w:rPr>
                <w:rFonts w:hint="eastAsia" w:ascii="宋体" w:hAnsi="宋体" w:eastAsia="宋体" w:cs="宋体"/>
                <w:i w:val="0"/>
                <w:iCs w:val="0"/>
                <w:color w:val="000000"/>
                <w:sz w:val="28"/>
                <w:szCs w:val="28"/>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7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42.5</w:t>
            </w:r>
          </w:p>
        </w:tc>
        <w:tc>
          <w:tcPr>
            <w:tcW w:w="320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1DFA04">
            <w:pPr>
              <w:jc w:val="left"/>
              <w:rPr>
                <w:rFonts w:hint="eastAsia" w:ascii="宋体" w:hAnsi="宋体" w:eastAsia="宋体" w:cs="宋体"/>
                <w:i w:val="0"/>
                <w:iCs w:val="0"/>
                <w:color w:val="000000"/>
                <w:sz w:val="24"/>
                <w:szCs w:val="24"/>
                <w:u w:val="none"/>
              </w:rPr>
            </w:pP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D53B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9CD84">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8B27A">
            <w:pPr>
              <w:rPr>
                <w:rFonts w:hint="eastAsia" w:ascii="宋体" w:hAnsi="宋体" w:eastAsia="宋体" w:cs="宋体"/>
                <w:i w:val="0"/>
                <w:iCs w:val="0"/>
                <w:color w:val="000000"/>
                <w:sz w:val="24"/>
                <w:szCs w:val="24"/>
                <w:u w:val="none"/>
              </w:rPr>
            </w:pPr>
          </w:p>
        </w:tc>
      </w:tr>
      <w:tr w14:paraId="7C33D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825E">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B9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AC-10C沥青混合料配合比</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7B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每种类型1组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7D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B3BA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A683">
            <w:pPr>
              <w:rPr>
                <w:rFonts w:hint="eastAsia" w:ascii="宋体" w:hAnsi="宋体" w:eastAsia="宋体" w:cs="宋体"/>
                <w:i w:val="0"/>
                <w:iCs w:val="0"/>
                <w:color w:val="000000"/>
                <w:sz w:val="24"/>
                <w:szCs w:val="24"/>
                <w:u w:val="none"/>
              </w:rPr>
            </w:pPr>
          </w:p>
        </w:tc>
      </w:tr>
      <w:tr w14:paraId="3FAE1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CAC77">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1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马歇尔稳定度试验</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AF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每批检验代表数量不得超过5000T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BA3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D4E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D7AE">
            <w:pPr>
              <w:rPr>
                <w:rFonts w:hint="eastAsia" w:ascii="宋体" w:hAnsi="宋体" w:eastAsia="宋体" w:cs="宋体"/>
                <w:i w:val="0"/>
                <w:iCs w:val="0"/>
                <w:color w:val="000000"/>
                <w:sz w:val="24"/>
                <w:szCs w:val="24"/>
                <w:u w:val="none"/>
              </w:rPr>
            </w:pPr>
          </w:p>
        </w:tc>
      </w:tr>
      <w:tr w14:paraId="6C0B3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57817">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7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油石比</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950B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B91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3AB3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4377">
            <w:pPr>
              <w:rPr>
                <w:rFonts w:hint="eastAsia" w:ascii="宋体" w:hAnsi="宋体" w:eastAsia="宋体" w:cs="宋体"/>
                <w:i w:val="0"/>
                <w:iCs w:val="0"/>
                <w:color w:val="000000"/>
                <w:sz w:val="24"/>
                <w:szCs w:val="24"/>
                <w:u w:val="none"/>
              </w:rPr>
            </w:pPr>
          </w:p>
        </w:tc>
      </w:tr>
      <w:tr w14:paraId="06860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7A626">
            <w:pPr>
              <w:jc w:val="cente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96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取芯压实度</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64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1000㎡/1点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845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29F0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4A5F">
            <w:pPr>
              <w:rPr>
                <w:rFonts w:hint="eastAsia" w:ascii="宋体" w:hAnsi="宋体" w:eastAsia="宋体" w:cs="宋体"/>
                <w:i w:val="0"/>
                <w:iCs w:val="0"/>
                <w:color w:val="000000"/>
                <w:sz w:val="24"/>
                <w:szCs w:val="24"/>
                <w:u w:val="none"/>
              </w:rPr>
            </w:pPr>
          </w:p>
        </w:tc>
      </w:tr>
      <w:tr w14:paraId="30499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BAB4">
            <w:pP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1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抗裂贴</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6D3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4D4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D90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156B6">
            <w:pPr>
              <w:rPr>
                <w:rFonts w:hint="eastAsia" w:ascii="宋体" w:hAnsi="宋体" w:eastAsia="宋体" w:cs="宋体"/>
                <w:i w:val="0"/>
                <w:iCs w:val="0"/>
                <w:color w:val="000000"/>
                <w:sz w:val="24"/>
                <w:szCs w:val="24"/>
                <w:u w:val="none"/>
              </w:rPr>
            </w:pPr>
          </w:p>
        </w:tc>
      </w:tr>
      <w:tr w14:paraId="53A51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AE19">
            <w:pP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CF4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构造深度</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67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每200米测1处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FA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CFAE">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C0FE">
            <w:pPr>
              <w:rPr>
                <w:rFonts w:hint="eastAsia" w:ascii="宋体" w:hAnsi="宋体" w:eastAsia="宋体" w:cs="宋体"/>
                <w:i w:val="0"/>
                <w:iCs w:val="0"/>
                <w:color w:val="000000"/>
                <w:sz w:val="24"/>
                <w:szCs w:val="24"/>
                <w:u w:val="none"/>
              </w:rPr>
            </w:pPr>
          </w:p>
        </w:tc>
      </w:tr>
      <w:tr w14:paraId="01FF1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F1112">
            <w:pP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C053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摩擦系数</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D7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每1000平方米测1点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FA4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65C8C">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95311">
            <w:pPr>
              <w:rPr>
                <w:rFonts w:hint="eastAsia" w:ascii="宋体" w:hAnsi="宋体" w:eastAsia="宋体" w:cs="宋体"/>
                <w:i w:val="0"/>
                <w:iCs w:val="0"/>
                <w:color w:val="000000"/>
                <w:sz w:val="24"/>
                <w:szCs w:val="24"/>
                <w:u w:val="none"/>
              </w:rPr>
            </w:pPr>
          </w:p>
        </w:tc>
      </w:tr>
      <w:tr w14:paraId="120C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24244">
            <w:pP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C6C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渗水</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5795">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A7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9A0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0C26">
            <w:pPr>
              <w:rPr>
                <w:rFonts w:hint="eastAsia" w:ascii="宋体" w:hAnsi="宋体" w:eastAsia="宋体" w:cs="宋体"/>
                <w:i w:val="0"/>
                <w:iCs w:val="0"/>
                <w:color w:val="000000"/>
                <w:sz w:val="24"/>
                <w:szCs w:val="24"/>
                <w:u w:val="none"/>
              </w:rPr>
            </w:pPr>
          </w:p>
        </w:tc>
      </w:tr>
      <w:tr w14:paraId="50254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1DAB0">
            <w:pPr>
              <w:rPr>
                <w:rFonts w:hint="eastAsia" w:ascii="宋体" w:hAnsi="宋体" w:eastAsia="宋体" w:cs="宋体"/>
                <w:i w:val="0"/>
                <w:iCs w:val="0"/>
                <w:color w:val="000000"/>
                <w:sz w:val="24"/>
                <w:szCs w:val="24"/>
                <w:u w:val="none"/>
              </w:rPr>
            </w:pP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B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混凝土试块</w:t>
            </w:r>
          </w:p>
        </w:tc>
        <w:tc>
          <w:tcPr>
            <w:tcW w:w="3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397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48B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7F0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A2612">
            <w:pPr>
              <w:rPr>
                <w:rFonts w:hint="eastAsia" w:ascii="宋体" w:hAnsi="宋体" w:eastAsia="宋体" w:cs="宋体"/>
                <w:i w:val="0"/>
                <w:iCs w:val="0"/>
                <w:color w:val="000000"/>
                <w:sz w:val="24"/>
                <w:szCs w:val="24"/>
                <w:u w:val="none"/>
              </w:rPr>
            </w:pPr>
          </w:p>
        </w:tc>
      </w:tr>
    </w:tbl>
    <w:p w14:paraId="2FB4ABB2">
      <w:pPr>
        <w:rPr>
          <w:rFonts w:hint="eastAsia" w:ascii="仿宋_GB2312" w:hAnsi="仿宋_GB2312" w:eastAsia="仿宋_GB2312" w:cs="仿宋_GB2312"/>
          <w:sz w:val="32"/>
          <w:szCs w:val="32"/>
          <w:highlight w:val="none"/>
          <w:lang w:val="en-US" w:eastAsia="zh-CN"/>
        </w:rPr>
        <w:sectPr>
          <w:footerReference r:id="rId3" w:type="default"/>
          <w:pgSz w:w="11906" w:h="16838"/>
          <w:pgMar w:top="1440" w:right="1800" w:bottom="1440" w:left="1800" w:header="851" w:footer="992" w:gutter="0"/>
          <w:pgNumType w:fmt="numberInDash"/>
          <w:cols w:space="720" w:num="1"/>
          <w:docGrid w:type="lines" w:linePitch="312" w:charSpace="0"/>
        </w:sectPr>
      </w:pPr>
    </w:p>
    <w:p w14:paraId="7955BF3C">
      <w:pPr>
        <w:widowControl w:val="0"/>
        <w:wordWrap/>
        <w:adjustRightInd w:val="0"/>
        <w:snapToGrid w:val="0"/>
        <w:spacing w:line="520" w:lineRule="exac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附件2：</w:t>
      </w:r>
    </w:p>
    <w:p w14:paraId="5771C94F">
      <w:pPr>
        <w:shd w:val="clear" w:color="auto" w:fill="auto"/>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报价单</w:t>
      </w:r>
    </w:p>
    <w:p w14:paraId="3EAE8F09">
      <w:pPr>
        <w:shd w:val="clear" w:color="auto" w:fill="auto"/>
        <w:spacing w:line="560" w:lineRule="exact"/>
        <w:jc w:val="center"/>
        <w:rPr>
          <w:rFonts w:ascii="仿宋_GB2312" w:hAnsi="仿宋" w:eastAsia="仿宋_GB2312" w:cs="仿宋"/>
          <w:b/>
          <w:sz w:val="32"/>
          <w:szCs w:val="32"/>
        </w:rPr>
      </w:pPr>
    </w:p>
    <w:tbl>
      <w:tblPr>
        <w:tblStyle w:val="14"/>
        <w:tblW w:w="86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200"/>
        <w:gridCol w:w="5483"/>
      </w:tblGrid>
      <w:tr w14:paraId="1E5E6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09"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7B163575">
            <w:pPr>
              <w:widowControl/>
              <w:shd w:val="clear" w:color="auto" w:fill="auto"/>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rPr>
              <w:t>项目名称</w:t>
            </w:r>
          </w:p>
        </w:tc>
        <w:tc>
          <w:tcPr>
            <w:tcW w:w="5483" w:type="dxa"/>
            <w:tcBorders>
              <w:top w:val="single" w:color="000000" w:sz="4" w:space="0"/>
              <w:left w:val="single" w:color="000000" w:sz="4" w:space="0"/>
              <w:bottom w:val="single" w:color="000000" w:sz="4" w:space="0"/>
              <w:right w:val="single" w:color="000000" w:sz="4" w:space="0"/>
            </w:tcBorders>
            <w:vAlign w:val="center"/>
          </w:tcPr>
          <w:p w14:paraId="51A1F89B">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default" w:ascii="仿宋_GB2312" w:hAnsi="仿宋_GB2312" w:eastAsia="仿宋_GB2312" w:cs="仿宋_GB2312"/>
                <w:b/>
                <w:color w:val="000000"/>
                <w:sz w:val="15"/>
                <w:szCs w:val="15"/>
                <w:lang w:val="en-US" w:eastAsia="zh-CN"/>
              </w:rPr>
            </w:pPr>
            <w:r>
              <w:rPr>
                <w:rFonts w:hint="eastAsia" w:ascii="仿宋_GB2312" w:hAnsi="仿宋_GB2312" w:eastAsia="仿宋_GB2312" w:cs="仿宋_GB2312"/>
                <w:sz w:val="30"/>
                <w:szCs w:val="30"/>
                <w:lang w:val="en-US" w:eastAsia="zh-CN"/>
              </w:rPr>
              <w:t>许昌市胖东来生活服务圈城市公共空间功能提升连通工程-中心城区道路提升改造项目东城区段第三方质量检测服务</w:t>
            </w:r>
          </w:p>
        </w:tc>
      </w:tr>
      <w:tr w14:paraId="4BEE0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right w:val="single" w:color="000000" w:sz="4" w:space="0"/>
            </w:tcBorders>
            <w:vAlign w:val="center"/>
          </w:tcPr>
          <w:p w14:paraId="0A4AEE4B">
            <w:pPr>
              <w:widowControl/>
              <w:shd w:val="clear" w:color="auto" w:fill="auto"/>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rPr>
              <w:t>申请人</w:t>
            </w:r>
          </w:p>
        </w:tc>
        <w:tc>
          <w:tcPr>
            <w:tcW w:w="5483" w:type="dxa"/>
            <w:tcBorders>
              <w:top w:val="single" w:color="000000" w:sz="4" w:space="0"/>
              <w:left w:val="single" w:color="000000" w:sz="4" w:space="0"/>
              <w:bottom w:val="single" w:color="000000" w:sz="4" w:space="0"/>
              <w:right w:val="single" w:color="000000" w:sz="4" w:space="0"/>
            </w:tcBorders>
            <w:vAlign w:val="center"/>
          </w:tcPr>
          <w:p w14:paraId="5F34F138">
            <w:pPr>
              <w:widowControl/>
              <w:shd w:val="clear" w:color="auto" w:fill="auto"/>
              <w:spacing w:line="560" w:lineRule="exact"/>
              <w:jc w:val="center"/>
              <w:textAlignment w:val="center"/>
              <w:rPr>
                <w:rFonts w:ascii="仿宋_GB2312" w:hAnsi="宋体" w:eastAsia="仿宋_GB2312" w:cs="仿宋_GB2312"/>
                <w:b/>
                <w:color w:val="000000"/>
                <w:sz w:val="32"/>
                <w:szCs w:val="32"/>
              </w:rPr>
            </w:pPr>
          </w:p>
        </w:tc>
      </w:tr>
      <w:tr w14:paraId="7B03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7125BC46">
            <w:pPr>
              <w:widowControl/>
              <w:shd w:val="clear" w:color="auto" w:fill="auto"/>
              <w:spacing w:line="560" w:lineRule="exact"/>
              <w:jc w:val="center"/>
              <w:textAlignment w:val="center"/>
              <w:rPr>
                <w:rFonts w:ascii="仿宋_GB2312" w:hAnsi="宋体" w:eastAsia="仿宋_GB2312" w:cs="仿宋_GB2312"/>
                <w:b/>
                <w:color w:val="000000"/>
                <w:kern w:val="0"/>
                <w:sz w:val="32"/>
                <w:szCs w:val="32"/>
              </w:rPr>
            </w:pPr>
            <w:r>
              <w:rPr>
                <w:rFonts w:hint="eastAsia" w:ascii="仿宋_GB2312" w:hAnsi="宋体" w:eastAsia="仿宋_GB2312" w:cs="仿宋_GB2312"/>
                <w:b/>
                <w:color w:val="000000"/>
                <w:kern w:val="0"/>
                <w:sz w:val="32"/>
                <w:szCs w:val="32"/>
              </w:rPr>
              <w:t>申请人资质</w:t>
            </w:r>
          </w:p>
        </w:tc>
        <w:tc>
          <w:tcPr>
            <w:tcW w:w="5483" w:type="dxa"/>
            <w:tcBorders>
              <w:top w:val="single" w:color="000000" w:sz="4" w:space="0"/>
              <w:left w:val="single" w:color="000000" w:sz="4" w:space="0"/>
              <w:bottom w:val="single" w:color="000000" w:sz="4" w:space="0"/>
              <w:right w:val="single" w:color="000000" w:sz="4" w:space="0"/>
            </w:tcBorders>
            <w:vAlign w:val="center"/>
          </w:tcPr>
          <w:p w14:paraId="4F1A9DEB">
            <w:pPr>
              <w:widowControl/>
              <w:shd w:val="clear" w:color="auto" w:fill="auto"/>
              <w:spacing w:line="560" w:lineRule="exact"/>
              <w:jc w:val="center"/>
              <w:textAlignment w:val="center"/>
              <w:rPr>
                <w:rFonts w:ascii="仿宋_GB2312" w:hAnsi="宋体" w:eastAsia="仿宋_GB2312" w:cs="仿宋_GB2312"/>
                <w:b/>
                <w:color w:val="000000"/>
                <w:sz w:val="32"/>
                <w:szCs w:val="32"/>
              </w:rPr>
            </w:pPr>
          </w:p>
        </w:tc>
      </w:tr>
      <w:tr w14:paraId="34EFF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54F931F7">
            <w:pPr>
              <w:widowControl/>
              <w:shd w:val="clear" w:color="auto" w:fill="auto"/>
              <w:spacing w:line="560" w:lineRule="exact"/>
              <w:jc w:val="center"/>
              <w:textAlignment w:val="center"/>
              <w:rPr>
                <w:rFonts w:ascii="仿宋_GB2312" w:hAnsi="宋体" w:eastAsia="仿宋_GB2312" w:cs="仿宋_GB2312"/>
                <w:b/>
                <w:color w:val="000000"/>
                <w:kern w:val="0"/>
                <w:sz w:val="32"/>
                <w:szCs w:val="32"/>
              </w:rPr>
            </w:pPr>
            <w:r>
              <w:rPr>
                <w:rFonts w:hint="eastAsia" w:ascii="仿宋_GB2312" w:hAnsi="宋体" w:eastAsia="仿宋_GB2312" w:cs="仿宋_GB2312"/>
                <w:b/>
                <w:color w:val="000000"/>
                <w:kern w:val="0"/>
                <w:sz w:val="32"/>
                <w:szCs w:val="32"/>
              </w:rPr>
              <w:t>项目负责人（职务）</w:t>
            </w:r>
          </w:p>
        </w:tc>
        <w:tc>
          <w:tcPr>
            <w:tcW w:w="5483" w:type="dxa"/>
            <w:tcBorders>
              <w:top w:val="single" w:color="000000" w:sz="4" w:space="0"/>
              <w:left w:val="single" w:color="000000" w:sz="4" w:space="0"/>
              <w:bottom w:val="single" w:color="000000" w:sz="4" w:space="0"/>
              <w:right w:val="single" w:color="000000" w:sz="4" w:space="0"/>
            </w:tcBorders>
            <w:vAlign w:val="center"/>
          </w:tcPr>
          <w:p w14:paraId="3959EAF5">
            <w:pPr>
              <w:widowControl/>
              <w:shd w:val="clear" w:color="auto" w:fill="auto"/>
              <w:spacing w:line="560" w:lineRule="exact"/>
              <w:jc w:val="center"/>
              <w:textAlignment w:val="center"/>
              <w:rPr>
                <w:rFonts w:ascii="仿宋_GB2312" w:hAnsi="宋体" w:eastAsia="仿宋_GB2312" w:cs="仿宋_GB2312"/>
                <w:b/>
                <w:color w:val="000000"/>
                <w:sz w:val="32"/>
                <w:szCs w:val="32"/>
              </w:rPr>
            </w:pPr>
          </w:p>
        </w:tc>
      </w:tr>
      <w:tr w14:paraId="00571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3C078C24">
            <w:pPr>
              <w:widowControl/>
              <w:shd w:val="clear" w:color="auto" w:fill="auto"/>
              <w:spacing w:line="560" w:lineRule="exact"/>
              <w:jc w:val="center"/>
              <w:textAlignment w:val="center"/>
              <w:rPr>
                <w:rFonts w:hint="eastAsia" w:ascii="仿宋_GB2312" w:hAnsi="宋体" w:eastAsia="仿宋_GB2312" w:cs="仿宋_GB2312"/>
                <w:b/>
                <w:color w:val="000000"/>
                <w:kern w:val="0"/>
                <w:sz w:val="32"/>
                <w:szCs w:val="32"/>
                <w:lang w:val="en-US" w:eastAsia="zh-CN"/>
              </w:rPr>
            </w:pPr>
            <w:r>
              <w:rPr>
                <w:rFonts w:hint="eastAsia" w:ascii="仿宋_GB2312" w:hAnsi="宋体" w:eastAsia="仿宋_GB2312" w:cs="仿宋_GB2312"/>
                <w:b/>
                <w:color w:val="000000"/>
                <w:kern w:val="0"/>
                <w:sz w:val="32"/>
                <w:szCs w:val="32"/>
                <w:lang w:val="en-US" w:eastAsia="zh-CN"/>
              </w:rPr>
              <w:t>项目工作内容</w:t>
            </w:r>
          </w:p>
        </w:tc>
        <w:tc>
          <w:tcPr>
            <w:tcW w:w="5483" w:type="dxa"/>
            <w:tcBorders>
              <w:top w:val="single" w:color="000000" w:sz="4" w:space="0"/>
              <w:left w:val="single" w:color="000000" w:sz="4" w:space="0"/>
              <w:bottom w:val="single" w:color="000000" w:sz="4" w:space="0"/>
              <w:right w:val="single" w:color="000000" w:sz="4" w:space="0"/>
            </w:tcBorders>
            <w:vAlign w:val="center"/>
          </w:tcPr>
          <w:p w14:paraId="2F0E5DF7">
            <w:pPr>
              <w:widowControl/>
              <w:shd w:val="clear" w:color="auto" w:fill="auto"/>
              <w:spacing w:line="560" w:lineRule="exact"/>
              <w:jc w:val="center"/>
              <w:textAlignment w:val="center"/>
              <w:rPr>
                <w:rFonts w:hint="eastAsia" w:ascii="仿宋_GB2312" w:hAnsi="宋体" w:eastAsia="仿宋_GB2312" w:cs="仿宋_GB2312"/>
                <w:b/>
                <w:color w:val="000000"/>
                <w:kern w:val="0"/>
                <w:sz w:val="32"/>
                <w:szCs w:val="32"/>
              </w:rPr>
            </w:pPr>
          </w:p>
        </w:tc>
      </w:tr>
      <w:tr w14:paraId="31AA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51"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1F1EC0ED">
            <w:pPr>
              <w:widowControl/>
              <w:shd w:val="clear" w:color="auto" w:fill="auto"/>
              <w:spacing w:line="560" w:lineRule="exact"/>
              <w:jc w:val="center"/>
              <w:textAlignment w:val="center"/>
              <w:rPr>
                <w:rFonts w:hint="eastAsia" w:ascii="仿宋_GB2312" w:hAnsi="宋体" w:eastAsia="仿宋_GB2312" w:cs="仿宋_GB2312"/>
                <w:b/>
                <w:color w:val="000000"/>
                <w:kern w:val="0"/>
                <w:sz w:val="32"/>
                <w:szCs w:val="32"/>
              </w:rPr>
            </w:pPr>
            <w:r>
              <w:rPr>
                <w:rFonts w:hint="eastAsia" w:ascii="仿宋_GB2312" w:hAnsi="宋体" w:eastAsia="仿宋_GB2312" w:cs="仿宋_GB2312"/>
                <w:b/>
                <w:color w:val="000000"/>
                <w:kern w:val="0"/>
                <w:sz w:val="32"/>
                <w:szCs w:val="32"/>
              </w:rPr>
              <w:t>报价</w:t>
            </w:r>
          </w:p>
          <w:p w14:paraId="0C19E039">
            <w:pPr>
              <w:widowControl/>
              <w:shd w:val="clear" w:color="auto" w:fill="auto"/>
              <w:spacing w:line="560" w:lineRule="exact"/>
              <w:jc w:val="center"/>
              <w:textAlignment w:val="center"/>
              <w:rPr>
                <w:rFonts w:ascii="仿宋_GB2312" w:hAnsi="宋体" w:eastAsia="仿宋_GB2312" w:cs="仿宋_GB2312"/>
                <w:b/>
                <w:color w:val="000000"/>
                <w:kern w:val="0"/>
                <w:sz w:val="32"/>
                <w:szCs w:val="32"/>
              </w:rPr>
            </w:pPr>
            <w:r>
              <w:rPr>
                <w:rFonts w:hint="eastAsia" w:ascii="仿宋_GB2312" w:hAnsi="宋体" w:eastAsia="仿宋_GB2312" w:cs="仿宋_GB2312"/>
                <w:b/>
                <w:color w:val="000000"/>
                <w:kern w:val="0"/>
                <w:sz w:val="24"/>
                <w:szCs w:val="24"/>
                <w:lang w:eastAsia="zh-CN"/>
              </w:rPr>
              <w:t>（投标人须对附件1所有检测项目单独报价并列出总价）</w:t>
            </w:r>
          </w:p>
        </w:tc>
        <w:tc>
          <w:tcPr>
            <w:tcW w:w="5483" w:type="dxa"/>
            <w:tcBorders>
              <w:top w:val="single" w:color="000000" w:sz="4" w:space="0"/>
              <w:left w:val="single" w:color="000000" w:sz="4" w:space="0"/>
              <w:bottom w:val="single" w:color="000000" w:sz="4" w:space="0"/>
              <w:right w:val="single" w:color="000000" w:sz="4" w:space="0"/>
            </w:tcBorders>
            <w:vAlign w:val="center"/>
          </w:tcPr>
          <w:p w14:paraId="2B5BA58F">
            <w:pPr>
              <w:widowControl/>
              <w:shd w:val="clear" w:color="auto" w:fill="auto"/>
              <w:spacing w:line="560" w:lineRule="exact"/>
              <w:jc w:val="center"/>
              <w:textAlignment w:val="center"/>
              <w:rPr>
                <w:rFonts w:hint="default" w:ascii="仿宋_GB2312" w:hAnsi="仿宋_GB2312" w:eastAsia="仿宋_GB2312" w:cs="仿宋_GB2312"/>
                <w:sz w:val="32"/>
                <w:szCs w:val="32"/>
                <w:highlight w:val="none"/>
                <w:u w:val="none"/>
                <w:lang w:val="en-US" w:eastAsia="zh-CN"/>
              </w:rPr>
            </w:pPr>
            <w:r>
              <w:rPr>
                <w:rFonts w:hint="eastAsia" w:ascii="仿宋_GB2312" w:hAnsi="宋体" w:eastAsia="仿宋_GB2312" w:cs="仿宋_GB2312"/>
                <w:b/>
                <w:color w:val="000000"/>
                <w:kern w:val="0"/>
                <w:sz w:val="32"/>
                <w:szCs w:val="32"/>
                <w:lang w:val="en-US" w:eastAsia="zh-CN"/>
              </w:rPr>
              <w:t xml:space="preserve">   </w:t>
            </w:r>
            <w:r>
              <w:rPr>
                <w:rFonts w:hint="eastAsia" w:ascii="仿宋_GB2312" w:hAnsi="宋体" w:eastAsia="仿宋_GB2312" w:cs="仿宋_GB2312"/>
                <w:b/>
                <w:color w:val="000000"/>
                <w:kern w:val="0"/>
                <w:sz w:val="32"/>
                <w:szCs w:val="32"/>
                <w:u w:val="single"/>
                <w:lang w:val="en-US" w:eastAsia="zh-CN"/>
              </w:rPr>
              <w:t xml:space="preserve">     </w:t>
            </w:r>
            <w:r>
              <w:rPr>
                <w:rFonts w:hint="eastAsia" w:ascii="仿宋_GB2312" w:hAnsi="宋体" w:eastAsia="仿宋_GB2312" w:cs="仿宋_GB2312"/>
                <w:b/>
                <w:color w:val="000000"/>
                <w:kern w:val="0"/>
                <w:sz w:val="32"/>
                <w:szCs w:val="32"/>
                <w:lang w:val="en-US" w:eastAsia="zh-CN"/>
              </w:rPr>
              <w:t>元（含税）</w:t>
            </w:r>
          </w:p>
        </w:tc>
      </w:tr>
    </w:tbl>
    <w:p w14:paraId="16FE6266">
      <w:pPr>
        <w:shd w:val="clear" w:color="auto" w:fill="auto"/>
        <w:adjustRightInd w:val="0"/>
        <w:spacing w:line="560" w:lineRule="exact"/>
        <w:ind w:firstLine="640" w:firstLineChars="200"/>
        <w:jc w:val="right"/>
        <w:rPr>
          <w:rFonts w:hint="eastAsia" w:ascii="仿宋_GB2312" w:hAnsi="仿宋_GB2312" w:eastAsia="仿宋_GB2312" w:cs="仿宋_GB2312"/>
          <w:sz w:val="32"/>
          <w:szCs w:val="32"/>
          <w:highlight w:val="none"/>
          <w:lang w:val="en-US" w:eastAsia="zh-CN"/>
        </w:rPr>
      </w:pPr>
    </w:p>
    <w:p w14:paraId="36673B77">
      <w:pPr>
        <w:shd w:val="clear" w:color="auto" w:fill="auto"/>
        <w:adjustRightInd w:val="0"/>
        <w:spacing w:line="560" w:lineRule="exact"/>
        <w:ind w:firstLine="640" w:firstLineChars="200"/>
        <w:jc w:val="right"/>
        <w:rPr>
          <w:rFonts w:hint="eastAsia" w:ascii="仿宋_GB2312" w:hAnsi="仿宋_GB2312" w:eastAsia="仿宋_GB2312" w:cs="仿宋_GB2312"/>
          <w:sz w:val="32"/>
          <w:szCs w:val="32"/>
          <w:highlight w:val="none"/>
          <w:lang w:val="en-US" w:eastAsia="zh-CN"/>
        </w:rPr>
      </w:pPr>
    </w:p>
    <w:p w14:paraId="2B1A6D9D">
      <w:pPr>
        <w:pStyle w:val="3"/>
        <w:ind w:firstLine="5461" w:firstLineChars="17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年    月    日</w:t>
      </w:r>
    </w:p>
    <w:p w14:paraId="50B555C9">
      <w:pPr>
        <w:rPr>
          <w:rFonts w:hint="eastAsia" w:ascii="仿宋_GB2312" w:hAnsi="仿宋_GB2312" w:eastAsia="仿宋_GB2312" w:cs="仿宋_GB2312"/>
          <w:sz w:val="32"/>
          <w:szCs w:val="32"/>
          <w:highlight w:val="none"/>
          <w:lang w:val="en-US" w:eastAsia="zh-CN"/>
        </w:rPr>
        <w:sectPr>
          <w:footerReference r:id="rId4" w:type="default"/>
          <w:pgSz w:w="11906" w:h="16838"/>
          <w:pgMar w:top="1440" w:right="1800" w:bottom="1440" w:left="1800" w:header="851" w:footer="992" w:gutter="0"/>
          <w:pgNumType w:fmt="numberInDash"/>
          <w:cols w:space="720" w:num="1"/>
          <w:docGrid w:type="lines" w:linePitch="312" w:charSpace="0"/>
        </w:sectPr>
      </w:pPr>
    </w:p>
    <w:p w14:paraId="3141D97C">
      <w:pP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附件3：</w:t>
      </w:r>
    </w:p>
    <w:p w14:paraId="0CA4F271">
      <w:pPr>
        <w:pStyle w:val="7"/>
        <w:spacing w:line="240" w:lineRule="auto"/>
        <w:ind w:firstLine="0" w:firstLineChars="0"/>
        <w:contextualSpacing/>
        <w:jc w:val="center"/>
        <w:rPr>
          <w:rFonts w:hint="eastAsia" w:ascii="方正小标宋简体" w:hAnsi="方正小标宋简体" w:eastAsia="方正小标宋简体" w:cs="方正小标宋简体"/>
          <w:b w:val="0"/>
          <w:bCs/>
          <w:sz w:val="44"/>
          <w:szCs w:val="44"/>
          <w:lang w:val="zh-CN"/>
        </w:rPr>
      </w:pPr>
      <w:r>
        <w:rPr>
          <w:rFonts w:hint="eastAsia" w:ascii="方正小标宋简体" w:hAnsi="方正小标宋简体" w:eastAsia="方正小标宋简体" w:cs="方正小标宋简体"/>
          <w:b w:val="0"/>
          <w:bCs/>
          <w:sz w:val="44"/>
          <w:szCs w:val="44"/>
          <w:lang w:val="zh-CN"/>
        </w:rPr>
        <w:t>评标标准</w:t>
      </w:r>
    </w:p>
    <w:p w14:paraId="1685E9E5">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一、资格审查</w:t>
      </w:r>
    </w:p>
    <w:p w14:paraId="2D60D205">
      <w:pPr>
        <w:widowControl w:val="0"/>
        <w:wordWrap/>
        <w:adjustRightInd/>
        <w:snapToGrid/>
        <w:spacing w:line="580" w:lineRule="exact"/>
        <w:ind w:firstLine="640" w:firstLineChars="200"/>
        <w:textAlignment w:val="auto"/>
        <w:rPr>
          <w:rFonts w:hint="eastAsia" w:ascii="仿宋_GB2312" w:hAnsi="仿宋_GB2312" w:eastAsia="仿宋_GB2312" w:cs="仿宋_GB2312"/>
          <w:color w:val="FF0000"/>
          <w:sz w:val="32"/>
          <w:szCs w:val="32"/>
          <w:lang w:val="zh-CN" w:eastAsia="zh-CN"/>
        </w:rPr>
      </w:pPr>
      <w:r>
        <w:rPr>
          <w:rFonts w:hint="eastAsia" w:ascii="仿宋_GB2312" w:hAnsi="仿宋_GB2312" w:eastAsia="仿宋_GB2312" w:cs="仿宋_GB2312"/>
          <w:sz w:val="32"/>
          <w:szCs w:val="32"/>
          <w:lang w:eastAsia="zh-CN"/>
        </w:rPr>
        <w:t>评审小组对</w:t>
      </w:r>
      <w:r>
        <w:rPr>
          <w:rFonts w:hint="eastAsia" w:ascii="仿宋_GB2312" w:hAnsi="仿宋_GB2312" w:eastAsia="仿宋_GB2312" w:cs="仿宋_GB2312"/>
          <w:sz w:val="32"/>
          <w:szCs w:val="32"/>
          <w:lang w:val="en-US" w:eastAsia="zh-CN"/>
        </w:rPr>
        <w:t>申请</w:t>
      </w:r>
      <w:r>
        <w:rPr>
          <w:rFonts w:hint="eastAsia" w:ascii="仿宋_GB2312" w:hAnsi="仿宋_GB2312" w:eastAsia="仿宋_GB2312" w:cs="仿宋_GB2312"/>
          <w:sz w:val="32"/>
          <w:szCs w:val="32"/>
          <w:lang w:eastAsia="zh-CN"/>
        </w:rPr>
        <w:t>人资格进行检查。</w:t>
      </w:r>
      <w:r>
        <w:rPr>
          <w:rFonts w:hint="eastAsia" w:ascii="仿宋_GB2312" w:hAnsi="仿宋_GB2312" w:eastAsia="仿宋_GB2312" w:cs="仿宋_GB2312"/>
          <w:sz w:val="32"/>
          <w:szCs w:val="32"/>
          <w:lang w:val="zh-CN" w:eastAsia="zh-CN"/>
        </w:rPr>
        <w:t>确定符合资格的</w:t>
      </w:r>
      <w:r>
        <w:rPr>
          <w:rFonts w:hint="eastAsia" w:ascii="仿宋_GB2312" w:hAnsi="仿宋_GB2312" w:eastAsia="仿宋_GB2312" w:cs="仿宋_GB2312"/>
          <w:sz w:val="32"/>
          <w:szCs w:val="32"/>
          <w:lang w:val="en-US" w:eastAsia="zh-CN"/>
        </w:rPr>
        <w:t>申请</w:t>
      </w:r>
      <w:r>
        <w:rPr>
          <w:rFonts w:hint="eastAsia" w:ascii="仿宋_GB2312" w:hAnsi="仿宋_GB2312" w:eastAsia="仿宋_GB2312" w:cs="仿宋_GB2312"/>
          <w:sz w:val="32"/>
          <w:szCs w:val="32"/>
          <w:lang w:val="zh-CN" w:eastAsia="zh-CN"/>
        </w:rPr>
        <w:t>人不少于3</w:t>
      </w:r>
      <w:r>
        <w:rPr>
          <w:rFonts w:hint="eastAsia" w:ascii="仿宋_GB2312" w:hAnsi="仿宋_GB2312" w:eastAsia="仿宋_GB2312" w:cs="仿宋_GB2312"/>
          <w:color w:val="auto"/>
          <w:sz w:val="32"/>
          <w:szCs w:val="32"/>
          <w:lang w:val="zh-CN" w:eastAsia="zh-CN"/>
        </w:rPr>
        <w:t>家后对投标文件进行符合性审查，</w:t>
      </w:r>
      <w:r>
        <w:rPr>
          <w:rFonts w:hint="eastAsia" w:ascii="仿宋_GB2312" w:hAnsi="仿宋_GB2312" w:eastAsia="仿宋_GB2312" w:cs="仿宋_GB2312"/>
          <w:color w:val="auto"/>
          <w:sz w:val="32"/>
          <w:szCs w:val="32"/>
          <w:lang w:val="en-US" w:eastAsia="zh-CN"/>
        </w:rPr>
        <w:t>少于三家则本次评标过程无效</w:t>
      </w:r>
      <w:r>
        <w:rPr>
          <w:rFonts w:hint="eastAsia" w:ascii="仿宋_GB2312" w:hAnsi="仿宋_GB2312" w:eastAsia="仿宋_GB2312" w:cs="仿宋_GB2312"/>
          <w:color w:val="auto"/>
          <w:sz w:val="32"/>
          <w:szCs w:val="32"/>
          <w:lang w:val="zh-CN" w:eastAsia="zh-CN"/>
        </w:rPr>
        <w:t>。</w:t>
      </w:r>
    </w:p>
    <w:p w14:paraId="4D99BB46">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二、评审</w:t>
      </w:r>
    </w:p>
    <w:p w14:paraId="32AAFC34">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（一）评审方法</w:t>
      </w:r>
    </w:p>
    <w:p w14:paraId="763079C0">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 xml:space="preserve">本项目采用综合评分法。总分为 </w:t>
      </w:r>
      <w:r>
        <w:rPr>
          <w:rFonts w:hint="eastAsia" w:ascii="Times New Roman" w:hAnsi="Times New Roman" w:eastAsia="仿宋_GB2312" w:cs="Times New Roman"/>
          <w:sz w:val="32"/>
          <w:szCs w:val="32"/>
          <w:lang w:val="zh-CN" w:eastAsia="zh-CN"/>
        </w:rPr>
        <w:t xml:space="preserve">100 </w:t>
      </w:r>
      <w:r>
        <w:rPr>
          <w:rFonts w:hint="eastAsia" w:ascii="仿宋_GB2312" w:hAnsi="仿宋_GB2312" w:eastAsia="仿宋_GB2312" w:cs="仿宋_GB2312"/>
          <w:b/>
          <w:bCs/>
          <w:sz w:val="32"/>
          <w:szCs w:val="32"/>
          <w:lang w:val="zh-CN" w:eastAsia="zh-CN"/>
        </w:rPr>
        <w:t>分。</w:t>
      </w:r>
    </w:p>
    <w:p w14:paraId="0591258C">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（二）评分办法</w:t>
      </w:r>
    </w:p>
    <w:tbl>
      <w:tblPr>
        <w:tblStyle w:val="14"/>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6786"/>
      </w:tblGrid>
      <w:tr w14:paraId="54D3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13" w:type="dxa"/>
            <w:vAlign w:val="center"/>
          </w:tcPr>
          <w:p w14:paraId="42BA95BB">
            <w:pPr>
              <w:tabs>
                <w:tab w:val="left" w:pos="1260"/>
              </w:tabs>
              <w:autoSpaceDE w:val="0"/>
              <w:autoSpaceDN w:val="0"/>
              <w:adjustRightInd w:val="0"/>
              <w:snapToGrid w:val="0"/>
              <w:spacing w:line="276" w:lineRule="auto"/>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分值构成</w:t>
            </w:r>
          </w:p>
          <w:p w14:paraId="017E361E">
            <w:pPr>
              <w:tabs>
                <w:tab w:val="left" w:pos="1260"/>
              </w:tabs>
              <w:autoSpaceDE w:val="0"/>
              <w:autoSpaceDN w:val="0"/>
              <w:adjustRightInd w:val="0"/>
              <w:snapToGrid w:val="0"/>
              <w:spacing w:line="276" w:lineRule="auto"/>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(总分100分)</w:t>
            </w:r>
          </w:p>
        </w:tc>
        <w:tc>
          <w:tcPr>
            <w:tcW w:w="6786" w:type="dxa"/>
            <w:vAlign w:val="center"/>
          </w:tcPr>
          <w:p w14:paraId="23E1A0C7">
            <w:pPr>
              <w:widowControl/>
              <w:adjustRightInd w:val="0"/>
              <w:snapToGrid w:val="0"/>
              <w:spacing w:line="276" w:lineRule="auto"/>
              <w:jc w:val="left"/>
              <w:rPr>
                <w:rFonts w:hint="eastAsia" w:ascii="Times New Roman" w:hAnsi="Times New Roman" w:eastAsia="仿宋_GB2312" w:cs="Times New Roman"/>
                <w:sz w:val="32"/>
                <w:szCs w:val="32"/>
                <w:lang w:val="zh-CN" w:eastAsia="zh-CN"/>
              </w:rPr>
            </w:pPr>
            <w:r>
              <w:rPr>
                <w:rFonts w:hint="eastAsia" w:ascii="仿宋_GB2312" w:hAnsi="仿宋_GB2312" w:eastAsia="仿宋_GB2312" w:cs="仿宋_GB2312"/>
                <w:sz w:val="32"/>
                <w:szCs w:val="32"/>
                <w:lang w:val="zh-CN"/>
              </w:rPr>
              <w:t>企业报价：</w:t>
            </w:r>
            <w:r>
              <w:rPr>
                <w:rFonts w:hint="eastAsia" w:ascii="仿宋_GB2312" w:hAnsi="仿宋_GB2312" w:eastAsia="仿宋_GB2312" w:cs="仿宋_GB2312"/>
                <w:sz w:val="32"/>
                <w:szCs w:val="32"/>
                <w:lang w:val="en-US" w:eastAsia="zh-CN"/>
              </w:rPr>
              <w:t xml:space="preserve"> </w:t>
            </w:r>
            <w:r>
              <w:rPr>
                <w:rFonts w:hint="eastAsia" w:ascii="Times New Roman" w:hAnsi="Times New Roman" w:eastAsia="仿宋_GB2312" w:cs="Times New Roman"/>
                <w:sz w:val="32"/>
                <w:szCs w:val="32"/>
                <w:lang w:val="en-US" w:eastAsia="zh-CN"/>
              </w:rPr>
              <w:t xml:space="preserve">30 </w:t>
            </w:r>
            <w:r>
              <w:rPr>
                <w:rFonts w:hint="eastAsia" w:ascii="Times New Roman" w:hAnsi="Times New Roman" w:eastAsia="仿宋_GB2312" w:cs="Times New Roman"/>
                <w:sz w:val="32"/>
                <w:szCs w:val="32"/>
                <w:lang w:val="zh-CN" w:eastAsia="zh-CN"/>
              </w:rPr>
              <w:t>分</w:t>
            </w:r>
          </w:p>
          <w:p w14:paraId="2380200E">
            <w:pPr>
              <w:widowControl/>
              <w:adjustRightInd w:val="0"/>
              <w:snapToGrid w:val="0"/>
              <w:spacing w:line="276" w:lineRule="auto"/>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企业业绩</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 xml:space="preserve"> </w:t>
            </w:r>
            <w:r>
              <w:rPr>
                <w:rFonts w:hint="eastAsia" w:ascii="Times New Roman" w:hAnsi="Times New Roman" w:eastAsia="仿宋_GB2312" w:cs="Times New Roman"/>
                <w:sz w:val="32"/>
                <w:szCs w:val="32"/>
                <w:lang w:val="en-US" w:eastAsia="zh-CN"/>
              </w:rPr>
              <w:t xml:space="preserve">20 </w:t>
            </w:r>
            <w:r>
              <w:rPr>
                <w:rFonts w:hint="eastAsia" w:ascii="仿宋_GB2312" w:hAnsi="仿宋_GB2312" w:eastAsia="仿宋_GB2312" w:cs="仿宋_GB2312"/>
                <w:sz w:val="32"/>
                <w:szCs w:val="32"/>
                <w:lang w:val="zh-CN" w:eastAsia="zh-CN"/>
              </w:rPr>
              <w:t>分</w:t>
            </w:r>
          </w:p>
          <w:p w14:paraId="55F33DBE">
            <w:pPr>
              <w:widowControl/>
              <w:adjustRightInd w:val="0"/>
              <w:snapToGrid w:val="0"/>
              <w:spacing w:line="276" w:lineRule="auto"/>
              <w:jc w:val="lef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管理机构：</w:t>
            </w:r>
            <w:r>
              <w:rPr>
                <w:rFonts w:hint="eastAsia" w:ascii="Times New Roman" w:hAnsi="Times New Roman" w:eastAsia="仿宋_GB2312" w:cs="Times New Roman"/>
                <w:sz w:val="32"/>
                <w:szCs w:val="32"/>
                <w:lang w:val="en-US" w:eastAsia="zh-CN"/>
              </w:rPr>
              <w:t xml:space="preserve"> 20 </w:t>
            </w:r>
            <w:r>
              <w:rPr>
                <w:rFonts w:hint="eastAsia" w:ascii="仿宋_GB2312" w:hAnsi="仿宋_GB2312" w:eastAsia="仿宋_GB2312" w:cs="仿宋_GB2312"/>
                <w:sz w:val="32"/>
                <w:szCs w:val="32"/>
                <w:lang w:val="en-US" w:eastAsia="zh-CN"/>
              </w:rPr>
              <w:t>分</w:t>
            </w:r>
          </w:p>
          <w:p w14:paraId="10F7DD50">
            <w:pPr>
              <w:widowControl/>
              <w:adjustRightInd w:val="0"/>
              <w:snapToGrid w:val="0"/>
              <w:spacing w:line="276" w:lineRule="auto"/>
              <w:jc w:val="left"/>
              <w:rPr>
                <w:rFonts w:hint="eastAsia"/>
                <w:lang w:val="en-US"/>
              </w:rPr>
            </w:pPr>
            <w:r>
              <w:rPr>
                <w:rFonts w:hint="eastAsia" w:ascii="仿宋_GB2312" w:hAnsi="仿宋_GB2312" w:eastAsia="仿宋_GB2312" w:cs="仿宋_GB2312"/>
                <w:sz w:val="32"/>
                <w:szCs w:val="32"/>
                <w:lang w:val="en-US" w:eastAsia="zh-CN"/>
              </w:rPr>
              <w:t>服务方案</w:t>
            </w:r>
            <w:r>
              <w:rPr>
                <w:rFonts w:hint="eastAsia" w:ascii="仿宋_GB2312" w:hAnsi="仿宋_GB2312" w:eastAsia="仿宋_GB2312" w:cs="仿宋_GB2312"/>
                <w:sz w:val="32"/>
                <w:szCs w:val="32"/>
                <w:lang w:val="zh-CN" w:eastAsia="zh-CN"/>
              </w:rPr>
              <w:t>：</w:t>
            </w:r>
            <w:r>
              <w:rPr>
                <w:rFonts w:hint="eastAsia" w:ascii="Times New Roman" w:hAnsi="Times New Roman" w:eastAsia="仿宋_GB2312" w:cs="Times New Roman"/>
                <w:sz w:val="32"/>
                <w:szCs w:val="32"/>
                <w:lang w:val="en-US" w:eastAsia="zh-CN"/>
              </w:rPr>
              <w:t xml:space="preserve"> 30</w:t>
            </w:r>
            <w:r>
              <w:rPr>
                <w:rFonts w:hint="eastAsia" w:ascii="仿宋_GB2312" w:hAnsi="仿宋_GB2312" w:eastAsia="仿宋_GB2312" w:cs="仿宋_GB2312"/>
                <w:sz w:val="32"/>
                <w:szCs w:val="32"/>
                <w:lang w:val="zh-CN" w:eastAsia="zh-CN"/>
              </w:rPr>
              <w:t xml:space="preserve"> 分</w:t>
            </w:r>
          </w:p>
        </w:tc>
      </w:tr>
      <w:tr w14:paraId="43E6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913" w:type="dxa"/>
            <w:tcMar>
              <w:top w:w="0" w:type="dxa"/>
              <w:left w:w="0" w:type="dxa"/>
              <w:bottom w:w="0" w:type="dxa"/>
              <w:right w:w="0" w:type="dxa"/>
            </w:tcMar>
            <w:vAlign w:val="center"/>
          </w:tcPr>
          <w:p w14:paraId="3EDDA59C">
            <w:pPr>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评审项</w:t>
            </w:r>
          </w:p>
        </w:tc>
        <w:tc>
          <w:tcPr>
            <w:tcW w:w="6786" w:type="dxa"/>
            <w:tcMar>
              <w:top w:w="0" w:type="dxa"/>
              <w:left w:w="0" w:type="dxa"/>
              <w:bottom w:w="0" w:type="dxa"/>
              <w:right w:w="0" w:type="dxa"/>
            </w:tcMar>
            <w:vAlign w:val="center"/>
          </w:tcPr>
          <w:p w14:paraId="2261EBDE">
            <w:pPr>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评标标准</w:t>
            </w:r>
          </w:p>
        </w:tc>
      </w:tr>
      <w:tr w14:paraId="63EC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913" w:type="dxa"/>
            <w:tcMar>
              <w:top w:w="0" w:type="dxa"/>
              <w:left w:w="0" w:type="dxa"/>
              <w:bottom w:w="0" w:type="dxa"/>
              <w:right w:w="0" w:type="dxa"/>
            </w:tcMar>
            <w:vAlign w:val="center"/>
          </w:tcPr>
          <w:p w14:paraId="3EE715C7">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报价</w:t>
            </w:r>
          </w:p>
          <w:p w14:paraId="6C558845">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分）</w:t>
            </w:r>
          </w:p>
        </w:tc>
        <w:tc>
          <w:tcPr>
            <w:tcW w:w="6786" w:type="dxa"/>
            <w:tcMar>
              <w:top w:w="0" w:type="dxa"/>
              <w:left w:w="0" w:type="dxa"/>
              <w:bottom w:w="0" w:type="dxa"/>
              <w:right w:w="0" w:type="dxa"/>
            </w:tcMar>
            <w:vAlign w:val="center"/>
          </w:tcPr>
          <w:p w14:paraId="2008BDAB">
            <w:pPr>
              <w:widowControl/>
              <w:adjustRightInd w:val="0"/>
              <w:snapToGrid w:val="0"/>
              <w:spacing w:line="27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default" w:ascii="Times New Roman" w:hAnsi="Times New Roman" w:eastAsia="仿宋_GB2312" w:cs="Times New Roman"/>
                <w:color w:val="auto"/>
                <w:sz w:val="32"/>
                <w:szCs w:val="32"/>
                <w:lang w:val="en-US" w:eastAsia="zh-CN"/>
              </w:rPr>
              <w:t>控制价不高于22.14万元</w:t>
            </w:r>
            <w:r>
              <w:rPr>
                <w:rFonts w:hint="eastAsia" w:ascii="仿宋_GB2312" w:hAnsi="仿宋_GB2312" w:eastAsia="仿宋_GB2312" w:cs="仿宋_GB2312"/>
                <w:color w:val="auto"/>
                <w:sz w:val="32"/>
                <w:szCs w:val="32"/>
              </w:rPr>
              <w:t>；</w:t>
            </w:r>
          </w:p>
          <w:p w14:paraId="62A346CC">
            <w:pPr>
              <w:widowControl/>
              <w:adjustRightInd w:val="0"/>
              <w:snapToGrid w:val="0"/>
              <w:spacing w:line="27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2.所有参与的</w:t>
            </w:r>
            <w:r>
              <w:rPr>
                <w:rFonts w:hint="eastAsia" w:ascii="仿宋_GB2312" w:hAnsi="仿宋_GB2312" w:eastAsia="仿宋_GB2312" w:cs="仿宋_GB2312"/>
                <w:color w:val="auto"/>
                <w:sz w:val="32"/>
                <w:szCs w:val="32"/>
                <w:lang w:eastAsia="zh-CN"/>
              </w:rPr>
              <w:t>比选</w:t>
            </w:r>
            <w:r>
              <w:rPr>
                <w:rFonts w:hint="eastAsia" w:ascii="仿宋_GB2312" w:hAnsi="仿宋_GB2312" w:eastAsia="仿宋_GB2312" w:cs="仿宋_GB2312"/>
                <w:color w:val="auto"/>
                <w:sz w:val="32"/>
                <w:szCs w:val="32"/>
              </w:rPr>
              <w:t>申请人最低的有效报价为</w:t>
            </w:r>
            <w:r>
              <w:rPr>
                <w:rFonts w:hint="eastAsia" w:ascii="仿宋_GB2312" w:hAnsi="仿宋_GB2312" w:eastAsia="仿宋_GB2312" w:cs="仿宋_GB2312"/>
                <w:color w:val="auto"/>
                <w:sz w:val="32"/>
                <w:szCs w:val="32"/>
                <w:lang w:val="en-US" w:eastAsia="zh-CN"/>
              </w:rPr>
              <w:t>评标</w:t>
            </w:r>
            <w:r>
              <w:rPr>
                <w:rFonts w:hint="eastAsia" w:ascii="仿宋_GB2312" w:hAnsi="仿宋_GB2312" w:eastAsia="仿宋_GB2312" w:cs="仿宋_GB2312"/>
                <w:color w:val="auto"/>
                <w:sz w:val="32"/>
                <w:szCs w:val="32"/>
              </w:rPr>
              <w:t>基准价；</w:t>
            </w:r>
          </w:p>
          <w:p w14:paraId="2B680D69">
            <w:pPr>
              <w:widowControl/>
              <w:adjustRightInd w:val="0"/>
              <w:snapToGrid w:val="0"/>
              <w:spacing w:line="276"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3.</w:t>
            </w:r>
            <w:r>
              <w:rPr>
                <w:rFonts w:hint="default" w:ascii="Times New Roman" w:hAnsi="Times New Roman" w:eastAsia="仿宋_GB2312" w:cs="Times New Roman"/>
                <w:color w:val="auto"/>
                <w:sz w:val="32"/>
                <w:szCs w:val="32"/>
                <w:highlight w:val="none"/>
                <w:lang w:val="zh-CN"/>
              </w:rPr>
              <w:t>投标报价得分=（基准价/</w:t>
            </w:r>
            <w:r>
              <w:rPr>
                <w:rFonts w:hint="default" w:ascii="Times New Roman" w:hAnsi="Times New Roman" w:eastAsia="仿宋_GB2312" w:cs="Times New Roman"/>
                <w:color w:val="auto"/>
                <w:sz w:val="32"/>
                <w:szCs w:val="32"/>
                <w:highlight w:val="none"/>
                <w:lang w:val="en-US" w:eastAsia="zh-CN"/>
              </w:rPr>
              <w:t>企业</w:t>
            </w:r>
            <w:r>
              <w:rPr>
                <w:rFonts w:hint="default" w:ascii="Times New Roman" w:hAnsi="Times New Roman" w:eastAsia="仿宋_GB2312" w:cs="Times New Roman"/>
                <w:color w:val="auto"/>
                <w:sz w:val="32"/>
                <w:szCs w:val="32"/>
                <w:highlight w:val="none"/>
                <w:lang w:val="zh-CN"/>
              </w:rPr>
              <w:t>报价）×</w:t>
            </w:r>
            <w:r>
              <w:rPr>
                <w:rFonts w:hint="default" w:ascii="Times New Roman" w:hAnsi="Times New Roman" w:eastAsia="仿宋_GB2312" w:cs="Times New Roman"/>
                <w:color w:val="auto"/>
                <w:sz w:val="32"/>
                <w:szCs w:val="32"/>
                <w:highlight w:val="none"/>
                <w:lang w:val="en-US" w:eastAsia="zh-CN"/>
              </w:rPr>
              <w:t>30</w:t>
            </w:r>
          </w:p>
        </w:tc>
      </w:tr>
      <w:tr w14:paraId="5932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2913" w:type="dxa"/>
            <w:shd w:val="clear" w:color="auto" w:fill="auto"/>
            <w:tcMar>
              <w:top w:w="0" w:type="dxa"/>
              <w:left w:w="0" w:type="dxa"/>
              <w:bottom w:w="0" w:type="dxa"/>
              <w:right w:w="0" w:type="dxa"/>
            </w:tcMar>
            <w:vAlign w:val="center"/>
          </w:tcPr>
          <w:p w14:paraId="7CB56332">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企业业绩</w:t>
            </w:r>
          </w:p>
          <w:p w14:paraId="0776C986">
            <w:pPr>
              <w:adjustRightInd w:val="0"/>
              <w:snapToGrid w:val="0"/>
              <w:spacing w:line="276" w:lineRule="auto"/>
              <w:jc w:val="center"/>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（20分）</w:t>
            </w:r>
          </w:p>
        </w:tc>
        <w:tc>
          <w:tcPr>
            <w:tcW w:w="6786" w:type="dxa"/>
            <w:shd w:val="clear" w:color="auto" w:fill="auto"/>
            <w:tcMar>
              <w:top w:w="0" w:type="dxa"/>
              <w:left w:w="0" w:type="dxa"/>
              <w:bottom w:w="0" w:type="dxa"/>
              <w:right w:w="0" w:type="dxa"/>
            </w:tcMar>
            <w:vAlign w:val="center"/>
          </w:tcPr>
          <w:p w14:paraId="549F680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640" w:firstLineChars="200"/>
              <w:jc w:val="both"/>
              <w:rPr>
                <w:rFonts w:hint="eastAsia" w:ascii="仿宋_GB2312" w:hAnsi="仿宋_GB2312" w:eastAsia="仿宋_GB2312" w:cs="仿宋_GB2312"/>
                <w:color w:val="auto"/>
                <w:kern w:val="2"/>
                <w:sz w:val="32"/>
                <w:szCs w:val="32"/>
                <w:lang w:val="en-US" w:eastAsia="zh-CN" w:bidi="ar-SA"/>
              </w:rPr>
            </w:pPr>
            <w:r>
              <w:rPr>
                <w:rFonts w:hint="default" w:ascii="Times New Roman" w:hAnsi="Times New Roman" w:eastAsia="仿宋_GB2312" w:cs="Times New Roman"/>
                <w:color w:val="auto"/>
                <w:sz w:val="32"/>
                <w:szCs w:val="32"/>
                <w:lang w:val="en-US" w:eastAsia="zh-CN"/>
              </w:rPr>
              <w:t>投标人</w:t>
            </w:r>
            <w:r>
              <w:rPr>
                <w:rFonts w:hint="default" w:ascii="Times New Roman" w:hAnsi="Times New Roman" w:eastAsia="仿宋_GB2312" w:cs="Times New Roman"/>
                <w:color w:val="auto"/>
                <w:sz w:val="32"/>
                <w:szCs w:val="32"/>
                <w:lang w:val="zh-CN"/>
              </w:rPr>
              <w:t>具有完成</w:t>
            </w:r>
            <w:r>
              <w:rPr>
                <w:rFonts w:hint="default" w:ascii="Times New Roman" w:hAnsi="Times New Roman" w:eastAsia="仿宋_GB2312" w:cs="Times New Roman"/>
                <w:color w:val="auto"/>
                <w:sz w:val="32"/>
                <w:szCs w:val="32"/>
                <w:highlight w:val="none"/>
                <w:lang w:val="zh-CN" w:eastAsia="zh-CN"/>
              </w:rPr>
              <w:t>项目</w:t>
            </w:r>
            <w:r>
              <w:rPr>
                <w:rFonts w:hint="eastAsia" w:ascii="Times New Roman" w:hAnsi="Times New Roman" w:eastAsia="仿宋_GB2312" w:cs="Times New Roman"/>
                <w:color w:val="auto"/>
                <w:sz w:val="32"/>
                <w:szCs w:val="32"/>
                <w:highlight w:val="none"/>
                <w:lang w:val="en-US" w:eastAsia="zh-CN"/>
              </w:rPr>
              <w:t>第三方质量检测</w:t>
            </w:r>
            <w:r>
              <w:rPr>
                <w:rFonts w:hint="default" w:ascii="Times New Roman" w:hAnsi="Times New Roman" w:eastAsia="仿宋_GB2312" w:cs="Times New Roman"/>
                <w:color w:val="auto"/>
                <w:sz w:val="32"/>
                <w:szCs w:val="32"/>
                <w:highlight w:val="none"/>
                <w:lang w:val="zh-CN" w:eastAsia="zh-CN"/>
              </w:rPr>
              <w:t>服</w:t>
            </w:r>
            <w:r>
              <w:rPr>
                <w:rFonts w:hint="default" w:ascii="Times New Roman" w:hAnsi="Times New Roman" w:eastAsia="仿宋_GB2312" w:cs="Times New Roman"/>
                <w:color w:val="auto"/>
                <w:sz w:val="32"/>
                <w:szCs w:val="32"/>
                <w:lang w:val="zh-CN"/>
              </w:rPr>
              <w:t>务能力</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b w:val="0"/>
                <w:bCs w:val="0"/>
                <w:color w:val="auto"/>
                <w:kern w:val="2"/>
                <w:sz w:val="32"/>
                <w:szCs w:val="32"/>
                <w:lang w:val="en-US" w:eastAsia="zh-CN" w:bidi="ar-SA"/>
              </w:rPr>
              <w:t>提供自202</w:t>
            </w:r>
            <w:r>
              <w:rPr>
                <w:rFonts w:hint="eastAsia" w:eastAsia="仿宋_GB2312" w:cs="Times New Roman"/>
                <w:b w:val="0"/>
                <w:bCs w:val="0"/>
                <w:color w:val="auto"/>
                <w:kern w:val="2"/>
                <w:sz w:val="32"/>
                <w:szCs w:val="32"/>
                <w:lang w:val="en-US" w:eastAsia="zh-CN" w:bidi="ar-SA"/>
              </w:rPr>
              <w:t>3</w:t>
            </w:r>
            <w:r>
              <w:rPr>
                <w:rFonts w:hint="default" w:ascii="Times New Roman" w:hAnsi="Times New Roman" w:eastAsia="仿宋_GB2312" w:cs="Times New Roman"/>
                <w:b w:val="0"/>
                <w:bCs w:val="0"/>
                <w:color w:val="auto"/>
                <w:kern w:val="2"/>
                <w:sz w:val="32"/>
                <w:szCs w:val="32"/>
                <w:lang w:val="en-US" w:eastAsia="zh-CN" w:bidi="ar-SA"/>
              </w:rPr>
              <w:t>年1月1日以来签订的</w:t>
            </w:r>
            <w:r>
              <w:rPr>
                <w:rFonts w:hint="default" w:ascii="Times New Roman" w:hAnsi="Times New Roman" w:eastAsia="仿宋_GB2312" w:cs="Times New Roman"/>
                <w:sz w:val="32"/>
                <w:szCs w:val="32"/>
                <w:highlight w:val="none"/>
                <w:lang w:val="en-US" w:eastAsia="zh-CN"/>
              </w:rPr>
              <w:t>工程质量检验检测业绩。</w:t>
            </w:r>
            <w:r>
              <w:rPr>
                <w:rFonts w:hint="default" w:ascii="Times New Roman" w:hAnsi="Times New Roman" w:eastAsia="仿宋_GB2312" w:cs="Times New Roman"/>
                <w:color w:val="auto"/>
                <w:sz w:val="32"/>
                <w:szCs w:val="32"/>
                <w:highlight w:val="none"/>
                <w:lang w:val="en-US" w:eastAsia="zh-CN"/>
              </w:rPr>
              <w:t>每提供一项得5分，满分20分</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lang w:val="en-US" w:eastAsia="zh-CN"/>
              </w:rPr>
              <w:t>（需提供</w:t>
            </w:r>
            <w:r>
              <w:rPr>
                <w:rFonts w:hint="eastAsia" w:ascii="Times New Roman" w:hAnsi="Times New Roman" w:eastAsia="仿宋_GB2312" w:cs="Times New Roman"/>
                <w:color w:val="auto"/>
                <w:sz w:val="32"/>
                <w:szCs w:val="32"/>
                <w:lang w:val="en-US" w:eastAsia="zh-CN"/>
              </w:rPr>
              <w:t>相关</w:t>
            </w:r>
            <w:r>
              <w:rPr>
                <w:rFonts w:hint="default" w:ascii="Times New Roman" w:hAnsi="Times New Roman" w:eastAsia="仿宋_GB2312" w:cs="Times New Roman"/>
                <w:color w:val="auto"/>
                <w:sz w:val="32"/>
                <w:szCs w:val="32"/>
                <w:lang w:val="en-US" w:eastAsia="zh-CN"/>
              </w:rPr>
              <w:t>合同或中标文件复印件，日期以</w:t>
            </w:r>
            <w:r>
              <w:rPr>
                <w:rFonts w:hint="eastAsia" w:ascii="Times New Roman" w:hAnsi="Times New Roman" w:eastAsia="仿宋_GB2312" w:cs="Times New Roman"/>
                <w:color w:val="auto"/>
                <w:sz w:val="32"/>
                <w:szCs w:val="32"/>
                <w:lang w:val="en-US" w:eastAsia="zh-CN"/>
              </w:rPr>
              <w:t>合同签订日期</w:t>
            </w:r>
            <w:r>
              <w:rPr>
                <w:rFonts w:hint="default" w:ascii="Times New Roman" w:hAnsi="Times New Roman" w:eastAsia="仿宋_GB2312" w:cs="Times New Roman"/>
                <w:color w:val="auto"/>
                <w:sz w:val="32"/>
                <w:szCs w:val="32"/>
                <w:lang w:val="en-US" w:eastAsia="zh-CN"/>
              </w:rPr>
              <w:t>为准。）</w:t>
            </w:r>
          </w:p>
        </w:tc>
      </w:tr>
      <w:tr w14:paraId="1F17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9" w:hRule="atLeast"/>
          <w:jc w:val="center"/>
        </w:trPr>
        <w:tc>
          <w:tcPr>
            <w:tcW w:w="2913" w:type="dxa"/>
            <w:shd w:val="clear" w:color="auto" w:fill="auto"/>
            <w:tcMar>
              <w:top w:w="0" w:type="dxa"/>
              <w:left w:w="0" w:type="dxa"/>
              <w:bottom w:w="0" w:type="dxa"/>
              <w:right w:w="0" w:type="dxa"/>
            </w:tcMar>
            <w:vAlign w:val="center"/>
          </w:tcPr>
          <w:p w14:paraId="36BE7598">
            <w:pPr>
              <w:widowControl/>
              <w:numPr>
                <w:ilvl w:val="0"/>
                <w:numId w:val="0"/>
              </w:numPr>
              <w:wordWrap/>
              <w:adjustRightInd w:val="0"/>
              <w:snapToGrid w:val="0"/>
              <w:spacing w:line="540" w:lineRule="exact"/>
              <w:ind w:right="0"/>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管理机构</w:t>
            </w:r>
          </w:p>
          <w:p w14:paraId="5A60D9E4">
            <w:pPr>
              <w:widowControl/>
              <w:numPr>
                <w:ilvl w:val="0"/>
                <w:numId w:val="0"/>
              </w:numPr>
              <w:wordWrap/>
              <w:adjustRightInd w:val="0"/>
              <w:snapToGrid w:val="0"/>
              <w:spacing w:line="540" w:lineRule="exact"/>
              <w:ind w:right="0"/>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（20分）</w:t>
            </w:r>
          </w:p>
        </w:tc>
        <w:tc>
          <w:tcPr>
            <w:tcW w:w="6786" w:type="dxa"/>
            <w:shd w:val="clear" w:color="auto" w:fill="auto"/>
            <w:tcMar>
              <w:top w:w="0" w:type="dxa"/>
              <w:left w:w="0" w:type="dxa"/>
              <w:bottom w:w="0" w:type="dxa"/>
              <w:right w:w="0" w:type="dxa"/>
            </w:tcMar>
            <w:vAlign w:val="center"/>
          </w:tcPr>
          <w:p w14:paraId="4A4BE68E">
            <w:pPr>
              <w:keepNext w:val="0"/>
              <w:keepLines w:val="0"/>
              <w:pageBreakBefore w:val="0"/>
              <w:widowControl/>
              <w:numPr>
                <w:ilvl w:val="0"/>
                <w:numId w:val="2"/>
              </w:numPr>
              <w:kinsoku/>
              <w:wordWrap/>
              <w:overflowPunct/>
              <w:topLinePunct w:val="0"/>
              <w:autoSpaceDE/>
              <w:autoSpaceDN/>
              <w:bidi w:val="0"/>
              <w:adjustRightInd w:val="0"/>
              <w:snapToGrid w:val="0"/>
              <w:spacing w:line="520" w:lineRule="exact"/>
              <w:ind w:firstLine="640" w:firstLineChars="200"/>
              <w:jc w:val="both"/>
              <w:rPr>
                <w:rFonts w:hint="eastAsia" w:ascii="Times New Roman" w:hAnsi="Times New Roman" w:eastAsia="仿宋_GB2312" w:cs="Times New Roman"/>
                <w:color w:val="auto"/>
                <w:sz w:val="32"/>
                <w:szCs w:val="32"/>
                <w:highlight w:val="none"/>
                <w:lang w:val="zh-CN" w:eastAsia="zh-CN"/>
              </w:rPr>
            </w:pPr>
            <w:r>
              <w:rPr>
                <w:rFonts w:hint="eastAsia" w:ascii="Times New Roman" w:hAnsi="Times New Roman" w:eastAsia="仿宋_GB2312" w:cs="Times New Roman"/>
                <w:color w:val="auto"/>
                <w:sz w:val="32"/>
                <w:szCs w:val="32"/>
                <w:highlight w:val="none"/>
                <w:lang w:val="en-US" w:eastAsia="zh-CN"/>
              </w:rPr>
              <w:t>项目负责人（6分）</w:t>
            </w:r>
            <w:r>
              <w:rPr>
                <w:rFonts w:hint="eastAsia"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zh-CN" w:eastAsia="zh-CN"/>
              </w:rPr>
              <w:t>拟派项目负责人</w:t>
            </w:r>
            <w:r>
              <w:rPr>
                <w:rFonts w:hint="eastAsia" w:ascii="Times New Roman" w:hAnsi="Times New Roman" w:eastAsia="仿宋_GB2312" w:cs="Times New Roman"/>
                <w:color w:val="auto"/>
                <w:sz w:val="32"/>
                <w:szCs w:val="32"/>
                <w:highlight w:val="none"/>
                <w:lang w:val="en-US" w:eastAsia="zh-CN"/>
              </w:rPr>
              <w:t>持有正高级职称证书得4分，高级职称得3分，如具有国家注册资格</w:t>
            </w:r>
            <w:r>
              <w:rPr>
                <w:rFonts w:hint="eastAsia" w:ascii="Times New Roman" w:hAnsi="Times New Roman" w:eastAsia="仿宋_GB2312" w:cs="Times New Roman"/>
                <w:color w:val="auto"/>
                <w:sz w:val="32"/>
                <w:szCs w:val="32"/>
                <w:highlight w:val="none"/>
                <w:lang w:val="zh-CN" w:eastAsia="zh-CN"/>
              </w:rPr>
              <w:t>（</w:t>
            </w:r>
            <w:r>
              <w:rPr>
                <w:rFonts w:hint="eastAsia" w:ascii="Times New Roman" w:hAnsi="Times New Roman" w:eastAsia="仿宋_GB2312" w:cs="Times New Roman"/>
                <w:color w:val="auto"/>
                <w:sz w:val="32"/>
                <w:szCs w:val="32"/>
                <w:highlight w:val="none"/>
                <w:lang w:val="en-US" w:eastAsia="zh-CN"/>
              </w:rPr>
              <w:t>如结构工程师、注册土木工程师等</w:t>
            </w:r>
            <w:r>
              <w:rPr>
                <w:rFonts w:hint="eastAsia" w:ascii="Times New Roman" w:hAnsi="Times New Roman" w:eastAsia="仿宋_GB2312" w:cs="Times New Roman"/>
                <w:color w:val="auto"/>
                <w:sz w:val="32"/>
                <w:szCs w:val="32"/>
                <w:highlight w:val="none"/>
                <w:lang w:val="zh-CN" w:eastAsia="zh-CN"/>
              </w:rPr>
              <w:t>）每项</w:t>
            </w:r>
            <w:r>
              <w:rPr>
                <w:rFonts w:hint="eastAsia" w:ascii="Times New Roman" w:hAnsi="Times New Roman" w:eastAsia="仿宋_GB2312" w:cs="Times New Roman"/>
                <w:color w:val="auto"/>
                <w:sz w:val="32"/>
                <w:szCs w:val="32"/>
                <w:highlight w:val="none"/>
                <w:lang w:val="en-US" w:eastAsia="zh-CN"/>
              </w:rPr>
              <w:t>得1分，没有不得分</w:t>
            </w:r>
            <w:r>
              <w:rPr>
                <w:rFonts w:hint="eastAsia" w:ascii="Times New Roman" w:hAnsi="Times New Roman" w:eastAsia="仿宋_GB2312" w:cs="Times New Roman"/>
                <w:color w:val="auto"/>
                <w:sz w:val="32"/>
                <w:szCs w:val="32"/>
                <w:highlight w:val="none"/>
                <w:lang w:val="zh-CN" w:eastAsia="zh-CN"/>
              </w:rPr>
              <w:t>；</w:t>
            </w:r>
          </w:p>
          <w:p w14:paraId="79CB0B0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 xml:space="preserve">2. </w:t>
            </w:r>
            <w:r>
              <w:rPr>
                <w:rFonts w:hint="eastAsia" w:ascii="Times New Roman" w:hAnsi="Times New Roman" w:eastAsia="仿宋_GB2312" w:cs="Times New Roman"/>
                <w:color w:val="auto"/>
                <w:sz w:val="32"/>
                <w:szCs w:val="32"/>
                <w:highlight w:val="none"/>
                <w:lang w:val="en-US" w:eastAsia="zh-CN"/>
              </w:rPr>
              <w:t>团队成员(10分)</w:t>
            </w:r>
            <w:r>
              <w:rPr>
                <w:rFonts w:hint="eastAsia"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除项目负责人外，其他人员持有国家注册资格(如结构工程师、注册土木工程师等)或中级工程师及以上职称，1人得2分。(以上人员均需提供聘用合同</w:t>
            </w:r>
            <w:r>
              <w:rPr>
                <w:rFonts w:hint="eastAsia" w:eastAsia="仿宋_GB2312" w:cs="Times New Roman"/>
                <w:color w:val="auto"/>
                <w:sz w:val="32"/>
                <w:szCs w:val="32"/>
                <w:highlight w:val="none"/>
                <w:lang w:val="en-US" w:eastAsia="zh-CN"/>
              </w:rPr>
              <w:t>、半年</w:t>
            </w:r>
            <w:r>
              <w:rPr>
                <w:rFonts w:hint="eastAsia" w:ascii="Times New Roman" w:hAnsi="Times New Roman" w:eastAsia="仿宋_GB2312" w:cs="Times New Roman"/>
                <w:color w:val="auto"/>
                <w:sz w:val="32"/>
                <w:szCs w:val="32"/>
                <w:highlight w:val="none"/>
                <w:lang w:val="en-US" w:eastAsia="zh-CN"/>
              </w:rPr>
              <w:t>社保证明</w:t>
            </w:r>
            <w:r>
              <w:rPr>
                <w:rFonts w:hint="eastAsia" w:eastAsia="仿宋_GB2312" w:cs="Times New Roman"/>
                <w:color w:val="auto"/>
                <w:sz w:val="32"/>
                <w:szCs w:val="32"/>
                <w:highlight w:val="none"/>
                <w:lang w:val="en-US" w:eastAsia="zh-CN"/>
              </w:rPr>
              <w:t>、证书</w:t>
            </w:r>
            <w:r>
              <w:rPr>
                <w:rFonts w:hint="eastAsia" w:ascii="Times New Roman" w:hAnsi="Times New Roman" w:eastAsia="仿宋_GB2312" w:cs="Times New Roman"/>
                <w:color w:val="auto"/>
                <w:sz w:val="32"/>
                <w:szCs w:val="32"/>
                <w:highlight w:val="none"/>
                <w:lang w:val="en-US" w:eastAsia="zh-CN"/>
              </w:rPr>
              <w:t>复印件等相关材料)。</w:t>
            </w:r>
          </w:p>
          <w:p w14:paraId="244DFF7A">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kern w:val="2"/>
                <w:sz w:val="32"/>
                <w:szCs w:val="32"/>
                <w:lang w:val="en-US" w:eastAsia="zh-CN" w:bidi="ar-SA"/>
              </w:rPr>
              <w:t>3</w:t>
            </w:r>
            <w:r>
              <w:rPr>
                <w:rFonts w:hint="eastAsia" w:eastAsia="仿宋_GB2312" w:cs="Times New Roman"/>
                <w:kern w:val="2"/>
                <w:sz w:val="32"/>
                <w:szCs w:val="32"/>
                <w:lang w:val="en-US" w:eastAsia="zh-CN" w:bidi="ar-SA"/>
              </w:rPr>
              <w:t>.</w:t>
            </w:r>
            <w:r>
              <w:rPr>
                <w:rFonts w:hint="eastAsia" w:ascii="Times New Roman" w:hAnsi="Times New Roman" w:eastAsia="仿宋_GB2312" w:cs="Times New Roman"/>
                <w:color w:val="auto"/>
                <w:sz w:val="32"/>
                <w:szCs w:val="32"/>
                <w:highlight w:val="none"/>
                <w:lang w:val="en-US" w:eastAsia="zh-CN"/>
              </w:rPr>
              <w:t>企业资质（4分）：具有建设工程质量检测机构综合资质</w:t>
            </w:r>
            <w:r>
              <w:rPr>
                <w:rFonts w:hint="eastAsia" w:eastAsia="仿宋_GB2312" w:cs="Times New Roman"/>
                <w:color w:val="auto"/>
                <w:sz w:val="32"/>
                <w:szCs w:val="32"/>
                <w:highlight w:val="none"/>
                <w:lang w:val="en-US" w:eastAsia="zh-CN"/>
              </w:rPr>
              <w:t>得4分</w:t>
            </w:r>
            <w:r>
              <w:rPr>
                <w:rFonts w:hint="eastAsia"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若无综合资质需具有</w:t>
            </w:r>
            <w:r>
              <w:rPr>
                <w:rFonts w:hint="eastAsia" w:ascii="Times New Roman" w:hAnsi="Times New Roman" w:eastAsia="仿宋_GB2312" w:cs="Times New Roman"/>
                <w:color w:val="auto"/>
                <w:sz w:val="32"/>
                <w:szCs w:val="32"/>
                <w:highlight w:val="none"/>
                <w:lang w:val="en-US" w:eastAsia="zh-CN"/>
              </w:rPr>
              <w:t>建设工程质量检测机构</w:t>
            </w:r>
            <w:r>
              <w:rPr>
                <w:rFonts w:hint="eastAsia" w:eastAsia="仿宋_GB2312" w:cs="Times New Roman"/>
                <w:color w:val="auto"/>
                <w:sz w:val="32"/>
                <w:szCs w:val="32"/>
                <w:highlight w:val="none"/>
                <w:lang w:val="en-US" w:eastAsia="zh-CN"/>
              </w:rPr>
              <w:t>专项</w:t>
            </w:r>
            <w:r>
              <w:rPr>
                <w:rFonts w:hint="eastAsia" w:ascii="Times New Roman" w:hAnsi="Times New Roman" w:eastAsia="仿宋_GB2312" w:cs="Times New Roman"/>
                <w:color w:val="auto"/>
                <w:sz w:val="32"/>
                <w:szCs w:val="32"/>
                <w:highlight w:val="none"/>
                <w:lang w:val="en-US" w:eastAsia="zh-CN"/>
              </w:rPr>
              <w:t>资质</w:t>
            </w:r>
            <w:r>
              <w:rPr>
                <w:rFonts w:hint="eastAsia" w:eastAsia="仿宋_GB2312" w:cs="Times New Roman"/>
                <w:color w:val="auto"/>
                <w:sz w:val="32"/>
                <w:szCs w:val="32"/>
                <w:highlight w:val="none"/>
                <w:lang w:val="en-US" w:eastAsia="zh-CN"/>
              </w:rPr>
              <w:t>（建筑材料及构配件、道路工程、市政工程材料、主体结构及装饰装修）满足本项目工程需要得2分。</w:t>
            </w:r>
          </w:p>
        </w:tc>
      </w:tr>
      <w:tr w14:paraId="672C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jc w:val="center"/>
        </w:trPr>
        <w:tc>
          <w:tcPr>
            <w:tcW w:w="2913" w:type="dxa"/>
            <w:tcMar>
              <w:top w:w="0" w:type="dxa"/>
              <w:left w:w="0" w:type="dxa"/>
              <w:bottom w:w="0" w:type="dxa"/>
              <w:right w:w="0" w:type="dxa"/>
            </w:tcMar>
            <w:vAlign w:val="center"/>
          </w:tcPr>
          <w:p w14:paraId="32EAB8C8">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服务方案</w:t>
            </w:r>
          </w:p>
          <w:p w14:paraId="75B1BD95">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（30分）</w:t>
            </w:r>
          </w:p>
        </w:tc>
        <w:tc>
          <w:tcPr>
            <w:tcW w:w="6786" w:type="dxa"/>
            <w:tcMar>
              <w:top w:w="0" w:type="dxa"/>
              <w:left w:w="0" w:type="dxa"/>
              <w:bottom w:w="0" w:type="dxa"/>
              <w:right w:w="0" w:type="dxa"/>
            </w:tcMar>
            <w:vAlign w:val="center"/>
          </w:tcPr>
          <w:p w14:paraId="42A7CC7F">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工作方案（10分）：针对</w:t>
            </w:r>
            <w:r>
              <w:rPr>
                <w:rFonts w:hint="default" w:ascii="Times New Roman" w:hAnsi="Times New Roman" w:eastAsia="仿宋_GB2312" w:cs="Times New Roman"/>
                <w:sz w:val="32"/>
                <w:szCs w:val="32"/>
                <w:highlight w:val="none"/>
                <w:lang w:val="en-US" w:eastAsia="zh-CN"/>
              </w:rPr>
              <w:t>本项目理解深入、重点突出、工作方案思路清晰、可行，能够保证检验检测工作按时保质、保量完成。</w:t>
            </w:r>
            <w:r>
              <w:rPr>
                <w:rFonts w:hint="default" w:ascii="Times New Roman" w:hAnsi="Times New Roman" w:eastAsia="仿宋_GB2312" w:cs="Times New Roman"/>
                <w:color w:val="auto"/>
                <w:sz w:val="32"/>
                <w:szCs w:val="32"/>
                <w:highlight w:val="none"/>
                <w:lang w:val="en-US" w:eastAsia="zh-CN"/>
              </w:rPr>
              <w:t>优秀得6-10分，良好得1-5分，没有不得分。</w:t>
            </w:r>
          </w:p>
          <w:p w14:paraId="4E53AE77">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eastAsia" w:ascii="仿宋_GB2312" w:hAnsi="仿宋_GB2312" w:eastAsia="仿宋_GB2312" w:cs="仿宋_GB2312"/>
                <w:sz w:val="32"/>
                <w:szCs w:val="32"/>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en-US" w:eastAsia="zh-CN"/>
              </w:rPr>
              <w:t>质量控制（10分）：</w:t>
            </w:r>
            <w:r>
              <w:rPr>
                <w:rFonts w:hint="default" w:ascii="Times New Roman" w:hAnsi="Times New Roman" w:eastAsia="仿宋_GB2312" w:cs="Times New Roman"/>
                <w:sz w:val="32"/>
                <w:szCs w:val="32"/>
                <w:highlight w:val="none"/>
                <w:lang w:val="en-US" w:eastAsia="zh-CN"/>
              </w:rPr>
              <w:t>制定完善的质量控制方案和程序、执行标准；对项目实施关键节点把握准确，能够严格按计划完成相关工作，能够根据项目进度安排检验检测工作。</w:t>
            </w:r>
            <w:r>
              <w:rPr>
                <w:rFonts w:hint="default" w:ascii="Times New Roman" w:hAnsi="Times New Roman" w:eastAsia="仿宋_GB2312" w:cs="Times New Roman"/>
                <w:color w:val="000000"/>
                <w:sz w:val="32"/>
                <w:szCs w:val="32"/>
                <w:highlight w:val="none"/>
                <w:lang w:val="en-US" w:eastAsia="zh-CN"/>
              </w:rPr>
              <w:t>优秀得6-10分，良好得1-5分，没有不得分。</w:t>
            </w:r>
          </w:p>
          <w:p w14:paraId="016988E2">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eastAsia" w:ascii="仿宋_GB2312" w:hAnsi="仿宋_GB2312" w:eastAsia="仿宋_GB2312" w:cs="仿宋_GB2312"/>
                <w:sz w:val="32"/>
                <w:szCs w:val="32"/>
                <w:lang w:val="zh-CN"/>
              </w:rPr>
            </w:pPr>
            <w:r>
              <w:rPr>
                <w:rFonts w:hint="eastAsia" w:eastAsia="仿宋_GB2312" w:cs="Times New Roman"/>
                <w:color w:val="000000"/>
                <w:sz w:val="32"/>
                <w:szCs w:val="32"/>
                <w:highlight w:val="none"/>
                <w:lang w:val="en-US" w:eastAsia="zh-CN"/>
              </w:rPr>
              <w:t>3.</w:t>
            </w:r>
            <w:r>
              <w:rPr>
                <w:rFonts w:hint="default" w:ascii="Times New Roman" w:hAnsi="Times New Roman" w:eastAsia="仿宋_GB2312" w:cs="Times New Roman"/>
                <w:color w:val="000000"/>
                <w:sz w:val="32"/>
                <w:szCs w:val="32"/>
                <w:highlight w:val="none"/>
                <w:lang w:val="en-US" w:eastAsia="zh-CN"/>
              </w:rPr>
              <w:t>重难点分析（5分）：</w:t>
            </w:r>
            <w:r>
              <w:rPr>
                <w:rFonts w:hint="default" w:ascii="Times New Roman" w:hAnsi="Times New Roman" w:eastAsia="仿宋_GB2312" w:cs="Times New Roman"/>
                <w:sz w:val="32"/>
                <w:szCs w:val="32"/>
                <w:highlight w:val="none"/>
                <w:lang w:val="en-US" w:eastAsia="zh-CN"/>
              </w:rPr>
              <w:t>对项目进行重点难点分析并制定相应措施，配合后期整体项目施工过程的分析，描述科学、针对性强、合理。</w:t>
            </w:r>
            <w:r>
              <w:rPr>
                <w:rFonts w:hint="default" w:ascii="Times New Roman" w:hAnsi="Times New Roman" w:eastAsia="仿宋_GB2312" w:cs="Times New Roman"/>
                <w:color w:val="000000"/>
                <w:sz w:val="32"/>
                <w:szCs w:val="32"/>
                <w:highlight w:val="none"/>
                <w:lang w:val="en-US" w:eastAsia="zh-CN"/>
              </w:rPr>
              <w:t>优秀得3-5分</w:t>
            </w:r>
            <w:r>
              <w:rPr>
                <w:rFonts w:hint="eastAsia"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良好得1-2分</w:t>
            </w:r>
            <w:r>
              <w:rPr>
                <w:rFonts w:hint="eastAsia"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没有不得分。</w:t>
            </w:r>
          </w:p>
          <w:p w14:paraId="484F63AC">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firstLine="640" w:firstLineChars="200"/>
              <w:jc w:val="both"/>
              <w:rPr>
                <w:rFonts w:hint="eastAsia" w:ascii="仿宋_GB2312" w:hAnsi="仿宋_GB2312" w:eastAsia="仿宋_GB2312" w:cs="仿宋_GB2312"/>
                <w:sz w:val="32"/>
                <w:szCs w:val="32"/>
                <w:lang w:val="zh-CN"/>
              </w:rPr>
            </w:pP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保密措施及档案管理制度（5分）：保密措施全面完善，能够严格按计划完成相关工作，优秀得3-5分</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良好得1-2分</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没有不得分。</w:t>
            </w:r>
          </w:p>
        </w:tc>
      </w:tr>
    </w:tbl>
    <w:p w14:paraId="1795B5AA">
      <w:pPr>
        <w:widowControl w:val="0"/>
        <w:wordWrap/>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lang w:val="zh-CN" w:eastAsia="zh-CN"/>
        </w:rPr>
        <w:t>）推荐</w:t>
      </w:r>
      <w:r>
        <w:rPr>
          <w:rFonts w:hint="eastAsia" w:ascii="仿宋_GB2312" w:hAnsi="仿宋_GB2312" w:eastAsia="仿宋_GB2312" w:cs="仿宋_GB2312"/>
          <w:b/>
          <w:bCs/>
          <w:sz w:val="32"/>
          <w:szCs w:val="32"/>
          <w:lang w:val="en-US" w:eastAsia="zh-CN"/>
        </w:rPr>
        <w:t>中标</w:t>
      </w:r>
      <w:r>
        <w:rPr>
          <w:rFonts w:hint="eastAsia" w:ascii="仿宋_GB2312" w:hAnsi="仿宋_GB2312" w:eastAsia="仿宋_GB2312" w:cs="仿宋_GB2312"/>
          <w:b/>
          <w:bCs/>
          <w:sz w:val="32"/>
          <w:szCs w:val="32"/>
          <w:lang w:val="zh-CN" w:eastAsia="zh-CN"/>
        </w:rPr>
        <w:t>候选人</w:t>
      </w:r>
    </w:p>
    <w:p w14:paraId="501371D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_GB2312" w:cs="Times New Roman"/>
          <w:sz w:val="32"/>
          <w:szCs w:val="32"/>
          <w:highlight w:val="none"/>
          <w:lang w:val="zh-CN" w:eastAsia="zh-CN"/>
        </w:rPr>
        <w:t>评审小组根据综合评分情况，按照评审得分由高到低顺序推荐</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zh-CN" w:eastAsia="zh-CN"/>
        </w:rPr>
        <w:t>名中标候选人。</w:t>
      </w:r>
      <w:r>
        <w:rPr>
          <w:rFonts w:hint="default" w:ascii="Times New Roman" w:hAnsi="Times New Roman" w:eastAsia="仿宋_GB2312" w:cs="Times New Roman"/>
          <w:sz w:val="32"/>
          <w:szCs w:val="32"/>
          <w:highlight w:val="none"/>
          <w:lang w:val="en-US" w:eastAsia="zh-CN"/>
        </w:rPr>
        <w:t>如最高得分为两家或两家以上时，由比选人组成的磋商小组进行磋商确定。</w:t>
      </w:r>
    </w:p>
    <w:p w14:paraId="1A211570">
      <w:pPr>
        <w:pStyle w:val="13"/>
        <w:rPr>
          <w:rFonts w:hint="eastAsia" w:ascii="仿宋" w:hAnsi="仿宋" w:eastAsia="仿宋" w:cs="仿宋"/>
          <w:sz w:val="32"/>
          <w:szCs w:val="32"/>
          <w:highlight w:val="none"/>
          <w:lang w:val="en-US" w:eastAsia="zh-CN"/>
        </w:rPr>
      </w:pPr>
    </w:p>
    <w:p w14:paraId="5B3D9BC0">
      <w:pPr>
        <w:pStyle w:val="13"/>
        <w:rPr>
          <w:rFonts w:hint="eastAsia" w:ascii="仿宋" w:hAnsi="仿宋" w:eastAsia="仿宋" w:cs="仿宋"/>
          <w:sz w:val="32"/>
          <w:szCs w:val="32"/>
          <w:highlight w:val="none"/>
          <w:lang w:val="en-US" w:eastAsia="zh-CN"/>
        </w:rPr>
      </w:pPr>
    </w:p>
    <w:p w14:paraId="1663472C">
      <w:pPr>
        <w:pStyle w:val="13"/>
        <w:rPr>
          <w:rFonts w:hint="eastAsia" w:ascii="仿宋" w:hAnsi="仿宋" w:eastAsia="仿宋" w:cs="仿宋"/>
          <w:sz w:val="32"/>
          <w:szCs w:val="32"/>
          <w:highlight w:val="none"/>
          <w:lang w:val="en-US" w:eastAsia="zh-CN"/>
        </w:rPr>
      </w:pPr>
    </w:p>
    <w:p w14:paraId="20443025">
      <w:pPr>
        <w:pStyle w:val="13"/>
        <w:rPr>
          <w:rFonts w:hint="eastAsia" w:ascii="仿宋" w:hAnsi="仿宋" w:eastAsia="仿宋" w:cs="仿宋"/>
          <w:sz w:val="32"/>
          <w:szCs w:val="32"/>
          <w:highlight w:val="none"/>
          <w:lang w:val="en-US" w:eastAsia="zh-CN"/>
        </w:rPr>
      </w:pPr>
    </w:p>
    <w:p w14:paraId="77FDE9C8">
      <w:pPr>
        <w:pStyle w:val="13"/>
        <w:rPr>
          <w:rFonts w:hint="eastAsia" w:ascii="仿宋" w:hAnsi="仿宋" w:eastAsia="仿宋" w:cs="仿宋"/>
          <w:sz w:val="32"/>
          <w:szCs w:val="32"/>
          <w:highlight w:val="none"/>
          <w:lang w:val="en-US" w:eastAsia="zh-CN"/>
        </w:rPr>
      </w:pPr>
    </w:p>
    <w:p w14:paraId="62B77427">
      <w:pPr>
        <w:pStyle w:val="13"/>
        <w:rPr>
          <w:rFonts w:hint="eastAsia" w:ascii="仿宋" w:hAnsi="仿宋" w:eastAsia="仿宋" w:cs="仿宋"/>
          <w:sz w:val="32"/>
          <w:szCs w:val="32"/>
          <w:highlight w:val="none"/>
          <w:lang w:val="en-US" w:eastAsia="zh-CN"/>
        </w:rPr>
      </w:pPr>
    </w:p>
    <w:p w14:paraId="1E9999E2">
      <w:pPr>
        <w:rPr>
          <w:rFonts w:hint="eastAsia" w:ascii="仿宋" w:hAnsi="仿宋" w:eastAsia="仿宋" w:cs="仿宋"/>
          <w:sz w:val="32"/>
          <w:szCs w:val="32"/>
          <w:highlight w:val="none"/>
          <w:lang w:val="en-US" w:eastAsia="zh-CN"/>
        </w:rPr>
      </w:pPr>
    </w:p>
    <w:p w14:paraId="468F2229">
      <w:pPr>
        <w:pStyle w:val="13"/>
        <w:ind w:left="0" w:leftChars="0" w:firstLine="0" w:firstLineChars="0"/>
        <w:rPr>
          <w:rFonts w:hint="eastAsia" w:ascii="仿宋" w:hAnsi="仿宋" w:eastAsia="仿宋" w:cs="仿宋"/>
          <w:sz w:val="32"/>
          <w:szCs w:val="32"/>
          <w:highlight w:val="none"/>
          <w:lang w:val="en-US" w:eastAsia="zh-CN"/>
        </w:rPr>
      </w:pPr>
    </w:p>
    <w:p w14:paraId="593931B9">
      <w:pPr>
        <w:pStyle w:val="13"/>
        <w:spacing w:before="100" w:after="100"/>
        <w:ind w:left="0" w:leftChars="0" w:firstLine="0" w:firstLineChars="0"/>
        <w:rPr>
          <w:rFonts w:hint="eastAsia" w:ascii="仿宋" w:hAnsi="仿宋" w:eastAsia="仿宋" w:cs="仿宋"/>
          <w:sz w:val="32"/>
          <w:szCs w:val="32"/>
          <w:highlight w:val="none"/>
          <w:lang w:val="en-US" w:eastAsia="zh-CN"/>
        </w:rPr>
      </w:pPr>
    </w:p>
    <w:p w14:paraId="0C7E9EB4">
      <w:pPr>
        <w:pStyle w:val="13"/>
        <w:spacing w:before="100" w:after="100"/>
        <w:ind w:left="0" w:leftChars="0" w:firstLine="0" w:firstLineChars="0"/>
        <w:rPr>
          <w:rFonts w:hint="eastAsia" w:ascii="仿宋" w:hAnsi="仿宋" w:eastAsia="仿宋" w:cs="仿宋"/>
          <w:sz w:val="32"/>
          <w:szCs w:val="32"/>
          <w:highlight w:val="none"/>
          <w:lang w:val="en-US" w:eastAsia="zh-CN"/>
        </w:rPr>
      </w:pPr>
    </w:p>
    <w:p w14:paraId="4F07E3F7">
      <w:pPr>
        <w:pStyle w:val="13"/>
        <w:spacing w:before="100" w:after="100"/>
        <w:ind w:left="0" w:leftChars="0" w:firstLine="0" w:firstLineChars="0"/>
        <w:rPr>
          <w:rFonts w:hint="default" w:eastAsia="仿宋_GB2312"/>
          <w:sz w:val="32"/>
          <w:szCs w:val="32"/>
          <w:lang w:eastAsia="zh-CN"/>
        </w:rPr>
      </w:pPr>
      <w:r>
        <w:rPr>
          <w:rFonts w:hint="eastAsia" w:ascii="仿宋" w:hAnsi="仿宋" w:eastAsia="仿宋" w:cs="仿宋"/>
          <w:sz w:val="32"/>
          <w:szCs w:val="32"/>
          <w:highlight w:val="none"/>
          <w:lang w:val="en-US" w:eastAsia="zh-CN"/>
        </w:rPr>
        <w:t>附件4：</w:t>
      </w:r>
    </w:p>
    <w:p w14:paraId="77F851E3">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廉洁</w:t>
      </w:r>
      <w:r>
        <w:rPr>
          <w:rFonts w:hint="eastAsia" w:ascii="方正小标宋简体" w:hAnsi="方正小标宋简体" w:eastAsia="方正小标宋简体" w:cs="方正小标宋简体"/>
          <w:sz w:val="44"/>
          <w:szCs w:val="44"/>
          <w:lang w:val="en-US" w:eastAsia="zh-CN"/>
        </w:rPr>
        <w:t>自</w:t>
      </w:r>
      <w:r>
        <w:rPr>
          <w:rFonts w:hint="eastAsia" w:ascii="方正小标宋简体" w:hAnsi="方正小标宋简体" w:eastAsia="方正小标宋简体" w:cs="方正小标宋简体"/>
          <w:sz w:val="44"/>
          <w:szCs w:val="44"/>
        </w:rPr>
        <w:t>律承诺书</w:t>
      </w:r>
    </w:p>
    <w:p w14:paraId="0C55FDD8">
      <w:pPr>
        <w:wordWrap/>
        <w:spacing w:line="560" w:lineRule="exact"/>
        <w:rPr>
          <w:rFonts w:hint="eastAsia" w:ascii="仿宋_GB2312" w:hAnsi="仿宋_GB2312" w:eastAsia="仿宋_GB2312" w:cs="仿宋_GB2312"/>
          <w:color w:val="auto"/>
          <w:sz w:val="32"/>
          <w:szCs w:val="32"/>
        </w:rPr>
      </w:pPr>
    </w:p>
    <w:p w14:paraId="6D609670">
      <w:pPr>
        <w:wordWrap/>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公司</w:t>
      </w:r>
    </w:p>
    <w:p w14:paraId="217629E0">
      <w:pPr>
        <w:widowControl w:val="0"/>
        <w:wordWrap/>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为维护公平竞争的市场环境，确保经济活动的廉洁性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合法性和透明度，防止任何形式的不正当交易及腐败行为，</w:t>
      </w:r>
      <w:r>
        <w:rPr>
          <w:rFonts w:hint="eastAsia" w:ascii="仿宋_GB2312" w:hAnsi="仿宋_GB2312" w:eastAsia="仿宋_GB2312" w:cs="仿宋_GB2312"/>
          <w:color w:val="auto"/>
          <w:sz w:val="32"/>
          <w:szCs w:val="32"/>
          <w:lang w:val="en-US" w:eastAsia="zh-CN"/>
        </w:rPr>
        <w:t>我单位作为投标人，郑重</w:t>
      </w:r>
      <w:r>
        <w:rPr>
          <w:rFonts w:hint="eastAsia" w:ascii="仿宋_GB2312" w:hAnsi="仿宋_GB2312" w:eastAsia="仿宋_GB2312" w:cs="仿宋_GB2312"/>
          <w:color w:val="auto"/>
          <w:sz w:val="32"/>
          <w:szCs w:val="32"/>
        </w:rPr>
        <w:t>承诺</w:t>
      </w:r>
      <w:r>
        <w:rPr>
          <w:rFonts w:hint="eastAsia" w:ascii="仿宋_GB2312" w:hAnsi="仿宋_GB2312" w:eastAsia="仿宋_GB2312" w:cs="仿宋_GB2312"/>
          <w:color w:val="auto"/>
          <w:sz w:val="32"/>
          <w:szCs w:val="32"/>
          <w:lang w:val="en-US" w:eastAsia="zh-CN"/>
        </w:rPr>
        <w:t>如下</w:t>
      </w:r>
      <w:r>
        <w:rPr>
          <w:rFonts w:hint="eastAsia" w:ascii="仿宋_GB2312" w:hAnsi="仿宋_GB2312" w:eastAsia="仿宋_GB2312" w:cs="仿宋_GB2312"/>
          <w:color w:val="auto"/>
          <w:sz w:val="32"/>
          <w:szCs w:val="32"/>
        </w:rPr>
        <w:t>:</w:t>
      </w:r>
    </w:p>
    <w:p w14:paraId="2300FE84">
      <w:pPr>
        <w:pStyle w:val="19"/>
        <w:widowControl/>
        <w:numPr>
          <w:ilvl w:val="0"/>
          <w:numId w:val="0"/>
        </w:numPr>
        <w:wordWrap/>
        <w:adjustRightInd w:val="0"/>
        <w:snapToGrid w:val="0"/>
        <w:spacing w:after="0" w:afterLines="0"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严格遵守国家及地方关于招投标、市场竞争的相关法律法规，不使用不正当手段妨碍、排挤相关投标单位或串通投标</w:t>
      </w:r>
      <w:r>
        <w:rPr>
          <w:rFonts w:hint="eastAsia" w:ascii="仿宋_GB2312" w:hAnsi="仿宋_GB2312" w:eastAsia="仿宋_GB2312" w:cs="仿宋_GB2312"/>
          <w:color w:val="auto"/>
          <w:sz w:val="32"/>
          <w:szCs w:val="32"/>
          <w:lang w:eastAsia="zh-CN"/>
        </w:rPr>
        <w:t>。</w:t>
      </w:r>
    </w:p>
    <w:p w14:paraId="688F59C1">
      <w:pPr>
        <w:wordWrap/>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2.不以任何形式(包括但不限于现金、礼品、有价证券回扣、佣金、提供旅游、娱乐活动等)向招标人员、评标专家或其他</w:t>
      </w:r>
      <w:r>
        <w:rPr>
          <w:rFonts w:hint="eastAsia" w:ascii="仿宋_GB2312" w:hAnsi="仿宋_GB2312" w:eastAsia="仿宋_GB2312" w:cs="仿宋_GB2312"/>
          <w:color w:val="auto"/>
          <w:sz w:val="32"/>
          <w:szCs w:val="32"/>
          <w:lang w:val="en-US" w:eastAsia="zh-CN"/>
        </w:rPr>
        <w:t>利害关系方</w:t>
      </w:r>
      <w:r>
        <w:rPr>
          <w:rFonts w:hint="eastAsia" w:ascii="仿宋_GB2312" w:hAnsi="仿宋_GB2312" w:eastAsia="仿宋_GB2312" w:cs="仿宋_GB2312"/>
          <w:color w:val="auto"/>
          <w:sz w:val="32"/>
          <w:szCs w:val="32"/>
        </w:rPr>
        <w:t>进行贿赂或给予不正当利益。</w:t>
      </w:r>
    </w:p>
    <w:p w14:paraId="0BDEDCE0">
      <w:pPr>
        <w:wordWrap/>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3.不进行任何可能影响招标公平、公正的活动或尝试干预评标过程。</w:t>
      </w:r>
    </w:p>
    <w:p w14:paraId="0CC16513">
      <w:pPr>
        <w:widowControl w:val="0"/>
        <w:wordWrap/>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如违反上述承诺，我单位愿意接受包括但不限于取消投标资格、中标无效、列入不良行为记录名单等，给招标单位造成损失的，依法承担赔偿责任。</w:t>
      </w:r>
    </w:p>
    <w:p w14:paraId="7545F932">
      <w:pPr>
        <w:wordWrap/>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特此承诺。</w:t>
      </w:r>
    </w:p>
    <w:p w14:paraId="148FA2F4">
      <w:pPr>
        <w:ind w:firstLine="6400" w:firstLineChars="2000"/>
        <w:rPr>
          <w:rFonts w:hint="eastAsia" w:ascii="仿宋_GB2312" w:hAnsi="仿宋_GB2312" w:eastAsia="仿宋_GB2312" w:cs="仿宋_GB2312"/>
          <w:sz w:val="32"/>
          <w:szCs w:val="32"/>
        </w:rPr>
      </w:pPr>
    </w:p>
    <w:p w14:paraId="6700735A">
      <w:pPr>
        <w:ind w:firstLine="4160" w:firstLineChars="1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单位名称(盖章)</w:t>
      </w:r>
    </w:p>
    <w:p w14:paraId="039A6F15">
      <w:pPr>
        <w:ind w:firstLine="4160" w:firstLineChars="1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p>
    <w:p w14:paraId="650AE7B4">
      <w:pPr>
        <w:ind w:firstLine="4160" w:firstLineChars="1300"/>
        <w:rPr>
          <w:rFonts w:hint="eastAsia" w:ascii="仿宋_GB2312" w:hAnsi="仿宋_GB2312" w:eastAsia="仿宋_GB2312" w:cs="仿宋_GB2312"/>
          <w:sz w:val="32"/>
          <w:szCs w:val="32"/>
        </w:rPr>
      </w:pPr>
    </w:p>
    <w:p w14:paraId="19E09304">
      <w:pPr>
        <w:pStyle w:val="13"/>
        <w:spacing w:before="100" w:after="100"/>
        <w:ind w:left="0" w:leftChars="0" w:firstLine="0" w:firstLineChars="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附件5：</w:t>
      </w:r>
    </w:p>
    <w:p w14:paraId="1784E09F">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合同主要条款</w:t>
      </w:r>
    </w:p>
    <w:p w14:paraId="14BF9FDD">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支付条款：按月计量支付，检测方在检测工作过程中提交检测成果文件，委托方依据检测方提交检测成果文件进行计量计</w:t>
      </w:r>
      <w:r>
        <w:rPr>
          <w:rFonts w:hint="eastAsia" w:ascii="Times New Roman" w:hAnsi="Times New Roman" w:eastAsia="仿宋_GB2312" w:cs="Times New Roman"/>
          <w:sz w:val="32"/>
          <w:szCs w:val="32"/>
          <w:lang w:val="en-US" w:eastAsia="zh-CN"/>
        </w:rPr>
        <w:t>价，完成计量计价后五个工作日内支付至实际完成工作量金额的80%；检</w:t>
      </w:r>
      <w:r>
        <w:rPr>
          <w:rFonts w:hint="eastAsia" w:ascii="仿宋_GB2312" w:hAnsi="仿宋_GB2312" w:eastAsia="仿宋_GB2312" w:cs="仿宋_GB2312"/>
          <w:b w:val="0"/>
          <w:bCs w:val="0"/>
          <w:sz w:val="32"/>
          <w:szCs w:val="32"/>
          <w:lang w:val="en-US" w:eastAsia="zh-CN"/>
        </w:rPr>
        <w:t>测工作全部完成后五个工作日内支付至实际完成工作量金</w:t>
      </w:r>
      <w:r>
        <w:rPr>
          <w:rFonts w:hint="eastAsia" w:ascii="Times New Roman" w:hAnsi="Times New Roman" w:eastAsia="仿宋_GB2312" w:cs="Times New Roman"/>
          <w:sz w:val="32"/>
          <w:szCs w:val="32"/>
          <w:lang w:val="en-US" w:eastAsia="zh-CN"/>
        </w:rPr>
        <w:t>额的95%；项目</w:t>
      </w:r>
      <w:r>
        <w:rPr>
          <w:rFonts w:hint="eastAsia" w:ascii="仿宋_GB2312" w:hAnsi="仿宋_GB2312" w:eastAsia="仿宋_GB2312" w:cs="仿宋_GB2312"/>
          <w:b w:val="0"/>
          <w:bCs w:val="0"/>
          <w:sz w:val="32"/>
          <w:szCs w:val="32"/>
          <w:lang w:val="en-US" w:eastAsia="zh-CN"/>
        </w:rPr>
        <w:t>检测成果整理、验收完成，并上报竣工结算评审完成后支付</w:t>
      </w:r>
      <w:r>
        <w:rPr>
          <w:rFonts w:hint="eastAsia" w:ascii="Times New Roman" w:hAnsi="Times New Roman" w:eastAsia="仿宋_GB2312" w:cs="Times New Roman"/>
          <w:sz w:val="32"/>
          <w:szCs w:val="32"/>
          <w:lang w:val="en-US" w:eastAsia="zh-CN"/>
        </w:rPr>
        <w:t>剩余5%检</w:t>
      </w:r>
      <w:r>
        <w:rPr>
          <w:rFonts w:hint="eastAsia" w:ascii="仿宋_GB2312" w:hAnsi="仿宋_GB2312" w:eastAsia="仿宋_GB2312" w:cs="仿宋_GB2312"/>
          <w:b w:val="0"/>
          <w:bCs w:val="0"/>
          <w:sz w:val="32"/>
          <w:szCs w:val="32"/>
          <w:lang w:val="en-US" w:eastAsia="zh-CN"/>
        </w:rPr>
        <w:t>测费用。费用支付前，检测方须向委托方提供合格的增值税专用发票，否则委托方有权拒绝付款。</w:t>
      </w:r>
    </w:p>
    <w:p w14:paraId="481584CE">
      <w:pPr>
        <w:rPr>
          <w:rFonts w:hint="default"/>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B81FD">
    <w:pPr>
      <w:pStyle w:val="8"/>
    </w:pPr>
    <w:r>
      <w:rPr>
        <w:rFonts w:ascii="Times New Roman" w:hAnsi="Times New Roman" w:eastAsia="宋体" w:cs="Times New Roman"/>
        <w:kern w:val="2"/>
        <w:sz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D970EA1">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0D970EA1">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5787">
    <w:pPr>
      <w:pStyle w:val="8"/>
    </w:pPr>
    <w:r>
      <w:rPr>
        <w:rFonts w:ascii="Times New Roman" w:hAnsi="Times New Roman" w:eastAsia="宋体" w:cs="Times New Roman"/>
        <w:kern w:val="2"/>
        <w:sz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1FEA9EFB">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YB44/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q+4swJSxd++fH98vP35dc3&#10;tkz29AEr6noMDzBlSGHSOrRg05tUsCFber5aqobIJBWX69V6XZLbks7mhHCKp88DYLxT3rIU1Bzo&#10;zrKV4vQR49g6t6Rpzt9qY6guKuP+KhBmqhSJ8cgxRXHYDxPxvW/OpLan6665o+3mzNw7cjNtxhzA&#10;HOzn4BhAHzqitsy8MHw4RiKRuaUJI+w0mO4pq5t2Ki3C8zx3Pf1H2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tgHjj8MBAACPAwAADgAAAAAAAAABACAAAAAfAQAAZHJzL2Uyb0RvYy54bWxQ&#10;SwUGAAAAAAYABgBZAQAAVAUAAAAA&#10;">
              <v:fill on="f" focussize="0,0"/>
              <v:stroke on="f"/>
              <v:imagedata o:title=""/>
              <o:lock v:ext="edit" aspectratio="f"/>
              <v:textbox inset="0mm,0mm,0mm,0mm" style="mso-fit-shape-to-text:t;">
                <w:txbxContent>
                  <w:p w14:paraId="1FEA9EFB">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chineseCounting"/>
      <w:pStyle w:val="2"/>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1">
    <w:nsid w:val="68B51900"/>
    <w:multiLevelType w:val="singleLevel"/>
    <w:tmpl w:val="68B51900"/>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jZGI5NzQwYWYyZTI1Nzk4NTU4YmYxNzcwZWJlZTkifQ=="/>
    <w:docVar w:name="KSO_WPS_MARK_KEY" w:val="e10be619-05dc-41cf-93cb-fd70e9d7f3f3"/>
  </w:docVars>
  <w:rsids>
    <w:rsidRoot w:val="00172A27"/>
    <w:rsid w:val="01D34B7C"/>
    <w:rsid w:val="020D399C"/>
    <w:rsid w:val="02471314"/>
    <w:rsid w:val="02A8425B"/>
    <w:rsid w:val="03204DAD"/>
    <w:rsid w:val="033A76CC"/>
    <w:rsid w:val="03791753"/>
    <w:rsid w:val="039847FC"/>
    <w:rsid w:val="03BF217E"/>
    <w:rsid w:val="04137DFA"/>
    <w:rsid w:val="04760788"/>
    <w:rsid w:val="0477594A"/>
    <w:rsid w:val="04A6281D"/>
    <w:rsid w:val="04AC5B58"/>
    <w:rsid w:val="04F57BCC"/>
    <w:rsid w:val="059A64CC"/>
    <w:rsid w:val="065A0AB0"/>
    <w:rsid w:val="07400AFC"/>
    <w:rsid w:val="07FF36BC"/>
    <w:rsid w:val="0879136E"/>
    <w:rsid w:val="0A2C0437"/>
    <w:rsid w:val="0B035026"/>
    <w:rsid w:val="0B2E72C7"/>
    <w:rsid w:val="0B554C24"/>
    <w:rsid w:val="0BFD4952"/>
    <w:rsid w:val="0D7C1CCF"/>
    <w:rsid w:val="0DCD1AE2"/>
    <w:rsid w:val="0E214EC1"/>
    <w:rsid w:val="0F1958F7"/>
    <w:rsid w:val="100B7DD6"/>
    <w:rsid w:val="107C1831"/>
    <w:rsid w:val="117E16C8"/>
    <w:rsid w:val="119213B2"/>
    <w:rsid w:val="12277102"/>
    <w:rsid w:val="12D9134B"/>
    <w:rsid w:val="12FD3C21"/>
    <w:rsid w:val="1356259B"/>
    <w:rsid w:val="135F0966"/>
    <w:rsid w:val="13926BAE"/>
    <w:rsid w:val="139C6AE3"/>
    <w:rsid w:val="15B96C5E"/>
    <w:rsid w:val="15C5541B"/>
    <w:rsid w:val="16262886"/>
    <w:rsid w:val="17155F13"/>
    <w:rsid w:val="17601293"/>
    <w:rsid w:val="17A51BCE"/>
    <w:rsid w:val="17BD4979"/>
    <w:rsid w:val="17C20C6F"/>
    <w:rsid w:val="1B507B0C"/>
    <w:rsid w:val="1C835196"/>
    <w:rsid w:val="1CAA4AF1"/>
    <w:rsid w:val="1CEB654E"/>
    <w:rsid w:val="1DC22489"/>
    <w:rsid w:val="1E0F2A46"/>
    <w:rsid w:val="1E6710C6"/>
    <w:rsid w:val="1F1664EC"/>
    <w:rsid w:val="1F427681"/>
    <w:rsid w:val="1F831F63"/>
    <w:rsid w:val="20BA4033"/>
    <w:rsid w:val="21455F02"/>
    <w:rsid w:val="21B04977"/>
    <w:rsid w:val="22286977"/>
    <w:rsid w:val="22900BB2"/>
    <w:rsid w:val="233A0AA7"/>
    <w:rsid w:val="234B5C3C"/>
    <w:rsid w:val="23751ADF"/>
    <w:rsid w:val="250B339C"/>
    <w:rsid w:val="25421E95"/>
    <w:rsid w:val="25B415F5"/>
    <w:rsid w:val="25B8555B"/>
    <w:rsid w:val="25FC2044"/>
    <w:rsid w:val="26A36964"/>
    <w:rsid w:val="27B5129D"/>
    <w:rsid w:val="27BF38CF"/>
    <w:rsid w:val="283F1AED"/>
    <w:rsid w:val="28965972"/>
    <w:rsid w:val="28B62672"/>
    <w:rsid w:val="29B575A9"/>
    <w:rsid w:val="29E1276B"/>
    <w:rsid w:val="2AED38D4"/>
    <w:rsid w:val="2B116592"/>
    <w:rsid w:val="2B45623B"/>
    <w:rsid w:val="2B581BF2"/>
    <w:rsid w:val="2BC62952"/>
    <w:rsid w:val="2CC66F08"/>
    <w:rsid w:val="2D960FD0"/>
    <w:rsid w:val="2E454F08"/>
    <w:rsid w:val="2EC3522E"/>
    <w:rsid w:val="2EE93473"/>
    <w:rsid w:val="30305D0A"/>
    <w:rsid w:val="305A3B1B"/>
    <w:rsid w:val="3078676B"/>
    <w:rsid w:val="309143F1"/>
    <w:rsid w:val="30E6069D"/>
    <w:rsid w:val="312E32CE"/>
    <w:rsid w:val="320A5110"/>
    <w:rsid w:val="324C081F"/>
    <w:rsid w:val="331104CE"/>
    <w:rsid w:val="333D5A4A"/>
    <w:rsid w:val="33F17549"/>
    <w:rsid w:val="34BF2BBB"/>
    <w:rsid w:val="353F56F7"/>
    <w:rsid w:val="357A11D7"/>
    <w:rsid w:val="36511F38"/>
    <w:rsid w:val="366D7797"/>
    <w:rsid w:val="36785717"/>
    <w:rsid w:val="36EC5FD8"/>
    <w:rsid w:val="370E4907"/>
    <w:rsid w:val="38496769"/>
    <w:rsid w:val="384B1BA2"/>
    <w:rsid w:val="396F1F22"/>
    <w:rsid w:val="399765E7"/>
    <w:rsid w:val="39B06AF4"/>
    <w:rsid w:val="3ADE6BB9"/>
    <w:rsid w:val="3B930354"/>
    <w:rsid w:val="3BFE6232"/>
    <w:rsid w:val="3C932648"/>
    <w:rsid w:val="3D1D6AF8"/>
    <w:rsid w:val="3D54230E"/>
    <w:rsid w:val="3DA52B6A"/>
    <w:rsid w:val="3E5548D7"/>
    <w:rsid w:val="3EE04C6E"/>
    <w:rsid w:val="3F5930F5"/>
    <w:rsid w:val="3FE27BA0"/>
    <w:rsid w:val="4070746C"/>
    <w:rsid w:val="40AF442B"/>
    <w:rsid w:val="417307CA"/>
    <w:rsid w:val="4290206D"/>
    <w:rsid w:val="438D7307"/>
    <w:rsid w:val="43C949D1"/>
    <w:rsid w:val="442A5BD9"/>
    <w:rsid w:val="44DF4BB3"/>
    <w:rsid w:val="454A3AE3"/>
    <w:rsid w:val="45502C7D"/>
    <w:rsid w:val="461026EE"/>
    <w:rsid w:val="464042EF"/>
    <w:rsid w:val="468F1307"/>
    <w:rsid w:val="47B42BE7"/>
    <w:rsid w:val="47FB2A68"/>
    <w:rsid w:val="49083534"/>
    <w:rsid w:val="49A308A5"/>
    <w:rsid w:val="4A3D2009"/>
    <w:rsid w:val="4B2116C3"/>
    <w:rsid w:val="4B58121B"/>
    <w:rsid w:val="4B6B4494"/>
    <w:rsid w:val="4BAF6E8A"/>
    <w:rsid w:val="4CD80866"/>
    <w:rsid w:val="4CFF2296"/>
    <w:rsid w:val="4E8A5B90"/>
    <w:rsid w:val="4E8D742E"/>
    <w:rsid w:val="4F71212E"/>
    <w:rsid w:val="4FDC1809"/>
    <w:rsid w:val="4FF27880"/>
    <w:rsid w:val="504C2670"/>
    <w:rsid w:val="507D19E0"/>
    <w:rsid w:val="51220301"/>
    <w:rsid w:val="51F779E0"/>
    <w:rsid w:val="531862B9"/>
    <w:rsid w:val="539B0B91"/>
    <w:rsid w:val="53A92F5C"/>
    <w:rsid w:val="53DF5474"/>
    <w:rsid w:val="53E21C7B"/>
    <w:rsid w:val="545568EB"/>
    <w:rsid w:val="546B1FBF"/>
    <w:rsid w:val="5549003E"/>
    <w:rsid w:val="56616D2B"/>
    <w:rsid w:val="58517D83"/>
    <w:rsid w:val="58535244"/>
    <w:rsid w:val="589C7FC2"/>
    <w:rsid w:val="58A9515A"/>
    <w:rsid w:val="596040BD"/>
    <w:rsid w:val="5A0803C7"/>
    <w:rsid w:val="5A0B50E9"/>
    <w:rsid w:val="5A3B0686"/>
    <w:rsid w:val="5A57323C"/>
    <w:rsid w:val="5B727742"/>
    <w:rsid w:val="5BFB48DE"/>
    <w:rsid w:val="5C451348"/>
    <w:rsid w:val="5CF873CF"/>
    <w:rsid w:val="5DA12EF6"/>
    <w:rsid w:val="5EAC3900"/>
    <w:rsid w:val="5FCE0C7C"/>
    <w:rsid w:val="5FF767C5"/>
    <w:rsid w:val="606B0879"/>
    <w:rsid w:val="61215F42"/>
    <w:rsid w:val="62641F69"/>
    <w:rsid w:val="629E645C"/>
    <w:rsid w:val="62A20064"/>
    <w:rsid w:val="62F72DBF"/>
    <w:rsid w:val="63204DAD"/>
    <w:rsid w:val="635A1B7D"/>
    <w:rsid w:val="63B41DA5"/>
    <w:rsid w:val="64555C7B"/>
    <w:rsid w:val="65436640"/>
    <w:rsid w:val="65556AA0"/>
    <w:rsid w:val="655F1E1A"/>
    <w:rsid w:val="658E425E"/>
    <w:rsid w:val="678205CB"/>
    <w:rsid w:val="67934844"/>
    <w:rsid w:val="68F608D3"/>
    <w:rsid w:val="695A0B28"/>
    <w:rsid w:val="6A933BC6"/>
    <w:rsid w:val="6AD87C8C"/>
    <w:rsid w:val="6B6E6EE6"/>
    <w:rsid w:val="6BA97B57"/>
    <w:rsid w:val="6BDE6FE6"/>
    <w:rsid w:val="6BE15BE4"/>
    <w:rsid w:val="6CAC04F4"/>
    <w:rsid w:val="6D6535F8"/>
    <w:rsid w:val="6E02353D"/>
    <w:rsid w:val="6F11441F"/>
    <w:rsid w:val="70722F5B"/>
    <w:rsid w:val="70C04FE9"/>
    <w:rsid w:val="70D44079"/>
    <w:rsid w:val="71520337"/>
    <w:rsid w:val="71915F81"/>
    <w:rsid w:val="71A2163F"/>
    <w:rsid w:val="71AB32FD"/>
    <w:rsid w:val="720D4872"/>
    <w:rsid w:val="73267CCD"/>
    <w:rsid w:val="7329331A"/>
    <w:rsid w:val="74F51705"/>
    <w:rsid w:val="7590142E"/>
    <w:rsid w:val="75D91027"/>
    <w:rsid w:val="76530C92"/>
    <w:rsid w:val="768D3F82"/>
    <w:rsid w:val="76D01188"/>
    <w:rsid w:val="775B1880"/>
    <w:rsid w:val="77E57406"/>
    <w:rsid w:val="79DA0070"/>
    <w:rsid w:val="79E97840"/>
    <w:rsid w:val="7AD467A5"/>
    <w:rsid w:val="7BD60CC6"/>
    <w:rsid w:val="7BE03191"/>
    <w:rsid w:val="7C222C76"/>
    <w:rsid w:val="7D162DCD"/>
    <w:rsid w:val="7D5978D5"/>
    <w:rsid w:val="7DC90249"/>
    <w:rsid w:val="7E947360"/>
    <w:rsid w:val="7F003A66"/>
    <w:rsid w:val="7FB0127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spacing w:before="100" w:beforeLines="0" w:after="100" w:afterLines="0" w:line="240" w:lineRule="atLeast"/>
      <w:jc w:val="center"/>
      <w:outlineLvl w:val="0"/>
    </w:pPr>
    <w:rPr>
      <w:rFonts w:ascii="Times New Roman" w:hAnsi="Times New Roman"/>
      <w:b/>
      <w:bCs/>
      <w:kern w:val="44"/>
      <w:sz w:val="36"/>
      <w:szCs w:val="44"/>
    </w:rPr>
  </w:style>
  <w:style w:type="paragraph" w:styleId="3">
    <w:name w:val="heading 2"/>
    <w:basedOn w:val="1"/>
    <w:next w:val="1"/>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5">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jc w:val="center"/>
    </w:pPr>
    <w:rPr>
      <w:rFonts w:ascii="Times New Roman" w:hAnsi="Times New Roman" w:eastAsia="黑体" w:cs="Times New Roman"/>
      <w:sz w:val="36"/>
      <w:szCs w:val="20"/>
    </w:rPr>
  </w:style>
  <w:style w:type="paragraph" w:styleId="5">
    <w:name w:val="Body Text Indent"/>
    <w:basedOn w:val="1"/>
    <w:next w:val="6"/>
    <w:qFormat/>
    <w:uiPriority w:val="99"/>
    <w:pPr>
      <w:spacing w:after="120"/>
      <w:ind w:left="420" w:leftChars="200"/>
    </w:pPr>
  </w:style>
  <w:style w:type="paragraph" w:styleId="6">
    <w:name w:val="envelope return"/>
    <w:basedOn w:val="1"/>
    <w:unhideWhenUsed/>
    <w:qFormat/>
    <w:uiPriority w:val="99"/>
    <w:pPr>
      <w:widowControl w:val="0"/>
      <w:snapToGrid w:val="0"/>
      <w:jc w:val="both"/>
    </w:pPr>
    <w:rPr>
      <w:rFonts w:ascii="Arial" w:hAnsi="Arial" w:eastAsia="宋体" w:cs="Times New Roman"/>
      <w:kern w:val="2"/>
      <w:sz w:val="21"/>
      <w:szCs w:val="22"/>
      <w:lang w:val="en-US" w:eastAsia="zh-CN" w:bidi="ar-SA"/>
    </w:rPr>
  </w:style>
  <w:style w:type="paragraph" w:styleId="7">
    <w:name w:val="Plain Text"/>
    <w:basedOn w:val="1"/>
    <w:qFormat/>
    <w:uiPriority w:val="0"/>
    <w:rPr>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2"/>
    <w:basedOn w:val="1"/>
    <w:qFormat/>
    <w:uiPriority w:val="0"/>
    <w:pPr>
      <w:spacing w:line="480" w:lineRule="auto"/>
    </w:pPr>
    <w:rPr>
      <w:rFonts w:ascii="Times New Roman" w:hAnsi="Times New Roman" w:eastAsia="宋体" w:cs="Times New Roman"/>
    </w:rPr>
  </w:style>
  <w:style w:type="paragraph" w:styleId="11">
    <w:name w:val="Normal (Web)"/>
    <w:basedOn w:val="1"/>
    <w:qFormat/>
    <w:uiPriority w:val="0"/>
    <w:pPr>
      <w:spacing w:before="100" w:beforeLines="0" w:beforeAutospacing="1" w:after="100" w:afterLines="0" w:afterAutospacing="1"/>
      <w:ind w:left="0" w:right="0"/>
      <w:jc w:val="left"/>
    </w:pPr>
    <w:rPr>
      <w:kern w:val="0"/>
      <w:sz w:val="24"/>
      <w:lang w:val="en-US" w:eastAsia="zh-CN"/>
    </w:rPr>
  </w:style>
  <w:style w:type="paragraph" w:styleId="12">
    <w:name w:val="Body Text First Indent"/>
    <w:basedOn w:val="4"/>
    <w:next w:val="13"/>
    <w:qFormat/>
    <w:uiPriority w:val="0"/>
    <w:pPr>
      <w:ind w:firstLine="420" w:firstLineChars="100"/>
    </w:pPr>
    <w:rPr>
      <w:rFonts w:ascii="宋体" w:hAnsi="Times New Roman" w:eastAsia="宋体" w:cs="Times New Roman"/>
      <w:kern w:val="0"/>
      <w:sz w:val="34"/>
      <w:szCs w:val="20"/>
    </w:rPr>
  </w:style>
  <w:style w:type="paragraph" w:styleId="13">
    <w:name w:val="Body Text First Indent 2"/>
    <w:basedOn w:val="5"/>
    <w:next w:val="1"/>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List Paragraph1"/>
    <w:basedOn w:val="1"/>
    <w:next w:val="1"/>
    <w:qFormat/>
    <w:uiPriority w:val="0"/>
    <w:pPr>
      <w:widowControl w:val="0"/>
      <w:spacing w:before="0" w:beforeLines="0" w:after="0" w:afterLines="0" w:line="240" w:lineRule="auto"/>
      <w:ind w:left="420" w:firstLine="3748"/>
      <w:jc w:val="both"/>
    </w:pPr>
  </w:style>
  <w:style w:type="paragraph" w:customStyle="1" w:styleId="19">
    <w:name w:val="Body Text First Indent"/>
    <w:basedOn w:val="4"/>
    <w:qFormat/>
    <w:uiPriority w:val="0"/>
    <w:pPr>
      <w:adjustRightInd w:val="0"/>
      <w:spacing w:line="312" w:lineRule="atLeast"/>
      <w:ind w:firstLine="420"/>
      <w:textAlignment w:val="baseline"/>
    </w:pPr>
    <w:rPr>
      <w:kern w:val="0"/>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1581</Words>
  <Characters>1784</Characters>
  <Lines>0</Lines>
  <Paragraphs>0</Paragraphs>
  <TotalTime>0</TotalTime>
  <ScaleCrop>false</ScaleCrop>
  <LinksUpToDate>false</LinksUpToDate>
  <CharactersWithSpaces>1813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WPS_1658882146</cp:lastModifiedBy>
  <cp:lastPrinted>2025-05-14T03:14:00Z</cp:lastPrinted>
  <dcterms:modified xsi:type="dcterms:W3CDTF">2026-09-30T07:50:48Z</dcterms:modified>
  <dc:title>关于许禹供热长输管线项目勘察设计招标代理机构询比采购的邀请函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0BB217EC5C1641F1B5C0F533DE4EE012_13</vt:lpwstr>
  </property>
  <property fmtid="{D5CDD505-2E9C-101B-9397-08002B2CF9AE}" pid="4" name="commondata">
    <vt:lpwstr>eyJoZGlkIjoiN2I0NDMxMDhhNzIxZjIxM2FiMjFkZWExNzY4MTY3OTUifQ==</vt:lpwstr>
  </property>
  <property fmtid="{D5CDD505-2E9C-101B-9397-08002B2CF9AE}" pid="5" name="KSOTemplateDocerSaveRecord">
    <vt:lpwstr>eyJoZGlkIjoiOTIyY2E1Y2MxN2RlNmU3MWE5ZTI4MTRkNjNlNGE0MTMiLCJ1c2VySWQiOiIyMjI0MzU2NzYifQ==</vt:lpwstr>
  </property>
</Properties>
</file>