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4FB8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附件1</w:t>
      </w:r>
    </w:p>
    <w:p w14:paraId="1A529DFC">
      <w:pPr>
        <w:shd w:val="clear" w:color="auto" w:fill="auto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报价单</w:t>
      </w:r>
    </w:p>
    <w:p w14:paraId="578B334D">
      <w:pPr>
        <w:shd w:val="clear" w:color="auto" w:fill="auto"/>
        <w:spacing w:line="560" w:lineRule="exact"/>
        <w:jc w:val="center"/>
        <w:rPr>
          <w:rFonts w:ascii="仿宋_GB2312" w:hAnsi="仿宋" w:eastAsia="仿宋_GB2312" w:cs="仿宋"/>
          <w:b/>
          <w:sz w:val="32"/>
          <w:szCs w:val="32"/>
        </w:rPr>
      </w:pPr>
    </w:p>
    <w:tbl>
      <w:tblPr>
        <w:tblStyle w:val="13"/>
        <w:tblW w:w="868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34"/>
        <w:gridCol w:w="5549"/>
      </w:tblGrid>
      <w:tr w14:paraId="457E1CD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58E61B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项目名称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38B9E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color w:val="000000"/>
                <w:sz w:val="32"/>
                <w:szCs w:val="32"/>
                <w:lang w:val="en-US" w:eastAsia="zh-CN"/>
              </w:rPr>
              <w:t>饮马河两侧游园配套设施更新项目</w:t>
            </w:r>
          </w:p>
          <w:p w14:paraId="3C4593F0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color w:val="000000"/>
                <w:sz w:val="32"/>
                <w:szCs w:val="32"/>
                <w:lang w:val="en-US" w:eastAsia="zh-CN"/>
              </w:rPr>
              <w:t>监理单位比选</w:t>
            </w:r>
          </w:p>
        </w:tc>
      </w:tr>
      <w:tr w14:paraId="365173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1A08B72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申请人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12F687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color w:val="000000"/>
                <w:sz w:val="32"/>
                <w:szCs w:val="32"/>
                <w:lang w:val="en-US" w:eastAsia="zh-CN"/>
              </w:rPr>
              <w:t>公司名称***</w:t>
            </w:r>
          </w:p>
        </w:tc>
      </w:tr>
      <w:tr w14:paraId="6428FAE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3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E5DAA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申请人资质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5FF001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</w:p>
        </w:tc>
      </w:tr>
      <w:tr w14:paraId="43EBE4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9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C530EF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项目负责人（职务）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183B66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</w:p>
        </w:tc>
      </w:tr>
      <w:tr w14:paraId="2E597F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9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661DE8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val="en-US" w:eastAsia="zh-CN" w:bidi="ar"/>
              </w:rPr>
              <w:t>项目工作内容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E4D20D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</w:p>
        </w:tc>
      </w:tr>
      <w:tr w14:paraId="0B78E69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555AB3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报价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AD5C97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u w:val="single"/>
                <w:lang w:bidi="ar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u w:val="single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（含税）</w:t>
            </w:r>
          </w:p>
        </w:tc>
      </w:tr>
    </w:tbl>
    <w:p w14:paraId="4D598A37">
      <w:pPr>
        <w:shd w:val="clear" w:color="auto" w:fill="auto"/>
        <w:adjustRightInd w:val="0"/>
        <w:spacing w:line="56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2BF41D22">
      <w:pPr>
        <w:shd w:val="clear" w:color="auto" w:fill="auto"/>
        <w:adjustRightInd w:val="0"/>
        <w:spacing w:line="56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2E354F31">
      <w:pPr>
        <w:pStyle w:val="2"/>
        <w:ind w:firstLine="5461" w:firstLineChars="17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年    月    日</w:t>
      </w:r>
    </w:p>
    <w:p w14:paraId="394BB9E8">
      <w:pP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20E11217">
      <w:pP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3E6485DC">
      <w:pP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附件2</w:t>
      </w:r>
    </w:p>
    <w:p w14:paraId="5C82FC14">
      <w:pPr>
        <w:pStyle w:val="7"/>
        <w:spacing w:line="240" w:lineRule="auto"/>
        <w:ind w:firstLine="0" w:firstLineChars="0"/>
        <w:contextualSpacing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zh-CN"/>
        </w:rPr>
        <w:t>评标标准</w:t>
      </w:r>
    </w:p>
    <w:p w14:paraId="39EA38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  <w:t>一、资格审查</w:t>
      </w:r>
    </w:p>
    <w:p w14:paraId="6D537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FF000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评审小组对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人资格进行检查。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确定符合资格的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人不少于3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 w:eastAsia="zh-CN"/>
        </w:rPr>
        <w:t>家后对投标文件进行符合性审查，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少于三家则本次评标过程无效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 w:eastAsia="zh-CN"/>
        </w:rPr>
        <w:t>。</w:t>
      </w:r>
    </w:p>
    <w:p w14:paraId="2DAB66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二、评审</w:t>
      </w:r>
    </w:p>
    <w:p w14:paraId="09F58F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  <w:t>（一）评审方法</w:t>
      </w:r>
    </w:p>
    <w:p w14:paraId="14797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zh-CN" w:eastAsia="zh-CN"/>
        </w:rPr>
        <w:t>本项目采用综合评分法。总分为 100 分。</w:t>
      </w:r>
    </w:p>
    <w:p w14:paraId="6C347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  <w:t>（二）评分办法</w:t>
      </w:r>
    </w:p>
    <w:tbl>
      <w:tblPr>
        <w:tblStyle w:val="13"/>
        <w:tblW w:w="96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3"/>
        <w:gridCol w:w="6786"/>
      </w:tblGrid>
      <w:tr w14:paraId="10F01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1" w:hRule="atLeast"/>
          <w:jc w:val="center"/>
        </w:trPr>
        <w:tc>
          <w:tcPr>
            <w:tcW w:w="2913" w:type="dxa"/>
            <w:vAlign w:val="center"/>
          </w:tcPr>
          <w:p w14:paraId="6E480701">
            <w:pPr>
              <w:tabs>
                <w:tab w:val="left" w:pos="1260"/>
              </w:tabs>
              <w:autoSpaceDE w:val="0"/>
              <w:autoSpaceDN w:val="0"/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分值构成</w:t>
            </w:r>
          </w:p>
          <w:p w14:paraId="332F293D">
            <w:pPr>
              <w:tabs>
                <w:tab w:val="left" w:pos="1260"/>
              </w:tabs>
              <w:autoSpaceDE w:val="0"/>
              <w:autoSpaceDN w:val="0"/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(总分100分)</w:t>
            </w:r>
          </w:p>
        </w:tc>
        <w:tc>
          <w:tcPr>
            <w:tcW w:w="6786" w:type="dxa"/>
            <w:vAlign w:val="center"/>
          </w:tcPr>
          <w:p w14:paraId="79535A2F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 xml:space="preserve">投标报价：30 分 </w:t>
            </w:r>
          </w:p>
          <w:p w14:paraId="73778C94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 xml:space="preserve">监理大纲：30 分 </w:t>
            </w:r>
          </w:p>
          <w:p w14:paraId="4AA463CC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 xml:space="preserve">资信业绩：37 分 </w:t>
            </w:r>
          </w:p>
          <w:p w14:paraId="60CEAF32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eastAsia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其他因素：3 分</w:t>
            </w:r>
          </w:p>
        </w:tc>
      </w:tr>
      <w:tr w14:paraId="67401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5914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评审项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4B08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评标标准</w:t>
            </w:r>
          </w:p>
        </w:tc>
      </w:tr>
      <w:tr w14:paraId="362EE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35C9B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投标报价</w:t>
            </w:r>
          </w:p>
          <w:p w14:paraId="70A580A7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（30分）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36705">
            <w:pPr>
              <w:numPr>
                <w:ilvl w:val="0"/>
                <w:numId w:val="1"/>
              </w:num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投标报价高于控制价的为无效报价；</w:t>
            </w:r>
          </w:p>
          <w:p w14:paraId="6BE71AAC">
            <w:pPr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所有参与的比选申请人最低的有效报价为基准报价；</w:t>
            </w:r>
          </w:p>
          <w:p w14:paraId="2DC7F2EB">
            <w:pPr>
              <w:numPr>
                <w:ilvl w:val="0"/>
                <w:numId w:val="0"/>
              </w:numPr>
              <w:ind w:leftChars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3.报价得分=（基准报价/报价）×30分。</w:t>
            </w:r>
          </w:p>
        </w:tc>
      </w:tr>
      <w:tr w14:paraId="67D29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603C2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监理大纲</w:t>
            </w:r>
          </w:p>
          <w:p w14:paraId="788E25E2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分）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CF83E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质量控制：总体质量控制目标满足招标文件要求，且对质量控制目标进行了合理分解、规划（0-6分）； </w:t>
            </w:r>
          </w:p>
          <w:p w14:paraId="35EB1A3B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进度控制：对总体进度目标分解合理，能体现预控和全面控制能力（0-6分）；</w:t>
            </w:r>
          </w:p>
          <w:p w14:paraId="4A75F734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安全措施：安全控制措施周密，安全控制手段合理（0-6分）；</w:t>
            </w:r>
          </w:p>
          <w:p w14:paraId="14848B37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档案及合同管理：工程档案管理措施切实可行，并设置专职人员进行管理（0-6分）；</w:t>
            </w:r>
          </w:p>
          <w:p w14:paraId="6B1BB130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工作制度：根据验收制度、签证制度、会议制度、公司对项目监理机构的监控制度、季报(月报)制度、公司对项目监理机构的奖惩考核制度等各项制度健全完善情况，酌情打分（0-6分）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。</w:t>
            </w:r>
          </w:p>
        </w:tc>
      </w:tr>
      <w:tr w14:paraId="78D02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4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B74F7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资信业绩</w:t>
            </w:r>
          </w:p>
          <w:p w14:paraId="65E01F51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（37分）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190D6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1.企业业绩：自2023年1月1日以来，投标人具有类似市政项目业绩的，每项得5分，最高得15分。时间以合同签订时间为准，需提供中标通知书、合同协议书复印件及公示网页版截图。</w:t>
            </w:r>
          </w:p>
          <w:p w14:paraId="38C6F97A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.企业荣誉：自2023年1月1日以来获得过省级及以上优秀工程监理企业（诚信建设先进企业）奖项得5分；市级的得3分，本项最高得15分。时间以证书日期为准，以关于获奖项目通知的红头文件及证书的原件扫描件（或图片）为准；同一项目不同获奖不重复计分。</w:t>
            </w:r>
          </w:p>
          <w:p w14:paraId="36D4D151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.项目监理机构人员配备：（1）投标人拟派项目监理机构人员，须包括项目负责人(总监理工程师)、总监理工程师代表、专业监理工程师、造价工程师、监理员、安全员、见证员、资料员等专职人员配备齐全得2分，缺项不得分；（2）投标人拟派项目监理机构中除项目负责人(总监理 工程师) 以外的其他人员，每具备一名高级工程师的得1 分，本项最高得3分；（3）投标人拟派项目监理机构人员具有注册安全工程师的得2分，本项最高得2分。</w:t>
            </w:r>
          </w:p>
          <w:p w14:paraId="24621DC7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both"/>
              <w:rPr>
                <w:rFonts w:hint="eastAsia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注：投标文件中须附项目监理机构人员相关证书的复印件，不提供者不得分。</w:t>
            </w:r>
          </w:p>
        </w:tc>
      </w:tr>
      <w:tr w14:paraId="4D43E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2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FD0D6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其他因素</w:t>
            </w:r>
          </w:p>
          <w:p w14:paraId="0AFED2F2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（3分）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049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 xml:space="preserve">服务承诺：投标人对以下事项进行承诺，每具有一项得 1分，没有承诺的不得分； 须包含但不限于： </w:t>
            </w:r>
          </w:p>
          <w:p w14:paraId="622C08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项目班子成员服务管理承诺(1分)；</w:t>
            </w:r>
          </w:p>
          <w:p w14:paraId="057B71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 xml:space="preserve">质量、进度、安全、环保等承诺(1分)； </w:t>
            </w:r>
          </w:p>
          <w:p w14:paraId="21CF6A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项目现场常驻监理人员不少于3人的承诺(1分)。</w:t>
            </w:r>
          </w:p>
          <w:p w14:paraId="11CA2927">
            <w:pPr>
              <w:adjustRightInd w:val="0"/>
              <w:snapToGrid w:val="0"/>
              <w:spacing w:line="276" w:lineRule="auto"/>
              <w:jc w:val="left"/>
              <w:rPr>
                <w:rFonts w:hint="default"/>
                <w:color w:val="auto"/>
                <w:lang w:val="en-US" w:eastAsia="zh-CN"/>
              </w:rPr>
            </w:pPr>
          </w:p>
        </w:tc>
      </w:tr>
    </w:tbl>
    <w:p w14:paraId="258406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  <w:t>）推荐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中标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  <w:t>候选人</w:t>
      </w:r>
    </w:p>
    <w:p w14:paraId="1D3066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评审小组根据综合评分情况，按照评审得分由高到低顺序推荐1名中标候选人。如最高得分为两家或两家以上时，由采购人组成的磋商小组进行磋商确定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。</w:t>
      </w:r>
    </w:p>
    <w:p w14:paraId="6AA505C1">
      <w:pPr>
        <w:pStyle w:val="12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161CE001">
      <w:pPr>
        <w:pStyle w:val="12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177F1BAB">
      <w:pPr>
        <w:pStyle w:val="12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7F9659EB">
      <w:pPr>
        <w:pStyle w:val="12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1D840E5A">
      <w:pPr>
        <w:pStyle w:val="12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2E8C915F">
      <w:pPr>
        <w:pStyle w:val="12"/>
        <w:spacing w:before="100" w:after="100"/>
        <w:ind w:left="0" w:leftChars="0" w:firstLine="0" w:firstLineChars="0"/>
        <w:rPr>
          <w:rFonts w:hint="default" w:eastAsia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附件3：</w:t>
      </w:r>
    </w:p>
    <w:p w14:paraId="3FE68D1E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廉洁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自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律承诺书</w:t>
      </w:r>
    </w:p>
    <w:p w14:paraId="0C59F5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6477B2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致: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公司</w:t>
      </w:r>
    </w:p>
    <w:p w14:paraId="0295E6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为维护公平竞争的市场环境，确保经济活动的廉洁性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合法性和透明度，防止任何形式的不正当交易及腐败行为，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我单位作为投标人，郑重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承诺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如下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:</w:t>
      </w:r>
    </w:p>
    <w:p w14:paraId="7F63C4FF">
      <w:pPr>
        <w:pStyle w:val="1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严格遵守国家及地方关于招投标、市场竞争的相关法律法规，不使用不正当手段妨碍、排挤相关投标单位或串通投标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3A82C9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2.不以任何形式(包括但不限于现金、礼品、有价证券回扣、佣金、提供旅游、娱乐活动等)向招标人员、评标专家或其他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利害关系方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进行贿赂或给予不正当利益。</w:t>
      </w:r>
    </w:p>
    <w:p w14:paraId="0038F4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3.不进行任何可能影响招标公平、公正的活动或尝试干预评标过程。</w:t>
      </w:r>
    </w:p>
    <w:p w14:paraId="0C5BDD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如违反上述承诺，我单位愿意接受包括但不限于取消投标资格、中标无效、列入不良行为记录名单等，给招标单位造成损失的，依法承担赔偿责任。</w:t>
      </w:r>
    </w:p>
    <w:p w14:paraId="5370ED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特此承诺。</w:t>
      </w:r>
    </w:p>
    <w:p w14:paraId="466F5FC5">
      <w:pPr>
        <w:ind w:firstLine="6400" w:firstLineChars="20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3249F06">
      <w:pPr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单位名称(盖章)</w:t>
      </w:r>
    </w:p>
    <w:p w14:paraId="322375C1">
      <w:pPr>
        <w:ind w:firstLine="4160" w:firstLineChars="13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日期:</w:t>
      </w:r>
    </w:p>
    <w:p w14:paraId="624CC397"/>
    <w:p w14:paraId="5DCBBBB6"/>
    <w:p w14:paraId="738E7A53">
      <w:pPr>
        <w:pStyle w:val="12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附件4：</w:t>
      </w:r>
    </w:p>
    <w:p w14:paraId="28C70B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right="0" w:rightChars="0" w:firstLine="880" w:firstLineChars="200"/>
        <w:jc w:val="center"/>
        <w:textAlignment w:val="auto"/>
        <w:outlineLvl w:val="9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合同主要条款</w:t>
      </w:r>
    </w:p>
    <w:p w14:paraId="68D2A1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</w:p>
    <w:p w14:paraId="148A4D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施工过程中根据工程形象进度支付施工单位工程款时，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按照本工程监理服务费占建安工程费比例同比例计量监理服务费，支付金额按下面公式计算：监理服务费=计量建安工程费*监理服务费占建安工程费比例*80%；竣工验收合格后，监理服务费支付金额至合同价的90%；项目结算评审完成后，监理服务费结算支付至合同价*97%；剩余3%监理服务费结算金额作为质量保证金（质量保证金不计利息），缺陷责任期满后支付。</w:t>
      </w:r>
    </w:p>
    <w:p w14:paraId="5BBAD3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每次付款前需向发包人提供对应金额的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符合财务要求的增值税专用发票，否则发包人有权拒绝付款且不承担任何违约责任。</w:t>
      </w:r>
    </w:p>
    <w:p w14:paraId="63BAB5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履约保证金数额为中标合同金额的10%，合同签订后10日内办理完成。</w:t>
      </w:r>
    </w:p>
    <w:p w14:paraId="032A881A">
      <w:pPr>
        <w:pStyle w:val="12"/>
        <w:spacing w:before="100" w:after="100"/>
        <w:ind w:left="0" w:leftChars="0" w:firstLine="0" w:firstLineChars="0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34DF73C9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CD532C2B-6492-4D73-9CE5-8DFC36CC935D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9151FAC-B016-439A-B281-52C61955F82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FC4DD4A2-91CE-442F-93E3-D89FAA72DE0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B57573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7FDC80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7FDC80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0B00E1"/>
    <w:multiLevelType w:val="singleLevel"/>
    <w:tmpl w:val="9C0B00E1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0B8C0093"/>
    <w:multiLevelType w:val="singleLevel"/>
    <w:tmpl w:val="0B8C009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E4766F"/>
    <w:rsid w:val="019150A2"/>
    <w:rsid w:val="01CA216C"/>
    <w:rsid w:val="01EF3980"/>
    <w:rsid w:val="022C0730"/>
    <w:rsid w:val="02447828"/>
    <w:rsid w:val="028B18FB"/>
    <w:rsid w:val="03630182"/>
    <w:rsid w:val="03B60333"/>
    <w:rsid w:val="03FD2384"/>
    <w:rsid w:val="040F67E2"/>
    <w:rsid w:val="04311D7B"/>
    <w:rsid w:val="04EC17F6"/>
    <w:rsid w:val="053E7D2E"/>
    <w:rsid w:val="05CF7D50"/>
    <w:rsid w:val="06316315"/>
    <w:rsid w:val="065169B7"/>
    <w:rsid w:val="073F6AF1"/>
    <w:rsid w:val="07837045"/>
    <w:rsid w:val="07C35693"/>
    <w:rsid w:val="07EA2C20"/>
    <w:rsid w:val="08E4766F"/>
    <w:rsid w:val="08F35052"/>
    <w:rsid w:val="09012917"/>
    <w:rsid w:val="09047D11"/>
    <w:rsid w:val="095C7FA3"/>
    <w:rsid w:val="096F5AD2"/>
    <w:rsid w:val="097A7FD3"/>
    <w:rsid w:val="09A60DC8"/>
    <w:rsid w:val="0A3B59B5"/>
    <w:rsid w:val="0B0264D2"/>
    <w:rsid w:val="0BB93035"/>
    <w:rsid w:val="0CD8573D"/>
    <w:rsid w:val="0F6A6D45"/>
    <w:rsid w:val="121865DB"/>
    <w:rsid w:val="12A6008B"/>
    <w:rsid w:val="12D06EB6"/>
    <w:rsid w:val="12DA1AE3"/>
    <w:rsid w:val="13645F7C"/>
    <w:rsid w:val="13BD35E6"/>
    <w:rsid w:val="13BD38DE"/>
    <w:rsid w:val="13E0137B"/>
    <w:rsid w:val="14DE58BA"/>
    <w:rsid w:val="16351E52"/>
    <w:rsid w:val="16AA5BFF"/>
    <w:rsid w:val="17D42FA4"/>
    <w:rsid w:val="17FB49D5"/>
    <w:rsid w:val="188E75F7"/>
    <w:rsid w:val="18F558C8"/>
    <w:rsid w:val="18F90F15"/>
    <w:rsid w:val="1954439D"/>
    <w:rsid w:val="19742C91"/>
    <w:rsid w:val="197E141A"/>
    <w:rsid w:val="1A085FD3"/>
    <w:rsid w:val="1A4E34E2"/>
    <w:rsid w:val="1A8B0292"/>
    <w:rsid w:val="1ABD4218"/>
    <w:rsid w:val="1B656D35"/>
    <w:rsid w:val="1B972C67"/>
    <w:rsid w:val="1B9735D8"/>
    <w:rsid w:val="1C790312"/>
    <w:rsid w:val="1C884B8C"/>
    <w:rsid w:val="1CB515F6"/>
    <w:rsid w:val="1D126A49"/>
    <w:rsid w:val="1D1673F4"/>
    <w:rsid w:val="1D882793"/>
    <w:rsid w:val="1E0D400B"/>
    <w:rsid w:val="1EE241F9"/>
    <w:rsid w:val="20141DB5"/>
    <w:rsid w:val="20A025BE"/>
    <w:rsid w:val="20A51982"/>
    <w:rsid w:val="210E5779"/>
    <w:rsid w:val="21102954"/>
    <w:rsid w:val="21425423"/>
    <w:rsid w:val="21A34113"/>
    <w:rsid w:val="21A954A2"/>
    <w:rsid w:val="2217240B"/>
    <w:rsid w:val="22671F9E"/>
    <w:rsid w:val="23CE2152"/>
    <w:rsid w:val="240D3AC6"/>
    <w:rsid w:val="246758CC"/>
    <w:rsid w:val="24B16B47"/>
    <w:rsid w:val="25076767"/>
    <w:rsid w:val="263170C3"/>
    <w:rsid w:val="270052EF"/>
    <w:rsid w:val="2749750B"/>
    <w:rsid w:val="275F6D2E"/>
    <w:rsid w:val="27787DF0"/>
    <w:rsid w:val="27DC3E10"/>
    <w:rsid w:val="27EC6775"/>
    <w:rsid w:val="280A234B"/>
    <w:rsid w:val="28304227"/>
    <w:rsid w:val="28C11323"/>
    <w:rsid w:val="292C0E92"/>
    <w:rsid w:val="292C2C40"/>
    <w:rsid w:val="2BA74800"/>
    <w:rsid w:val="2BF10171"/>
    <w:rsid w:val="2C043A01"/>
    <w:rsid w:val="2D782A6B"/>
    <w:rsid w:val="2DC86CB0"/>
    <w:rsid w:val="2DE0049D"/>
    <w:rsid w:val="2E1B5BCA"/>
    <w:rsid w:val="2E4B6478"/>
    <w:rsid w:val="2E913546"/>
    <w:rsid w:val="2F283EAA"/>
    <w:rsid w:val="2F2919D0"/>
    <w:rsid w:val="301F34FF"/>
    <w:rsid w:val="327411B4"/>
    <w:rsid w:val="33114C55"/>
    <w:rsid w:val="332C1A8F"/>
    <w:rsid w:val="33501744"/>
    <w:rsid w:val="33633703"/>
    <w:rsid w:val="33E74334"/>
    <w:rsid w:val="34666BD6"/>
    <w:rsid w:val="34A57D4B"/>
    <w:rsid w:val="35040F15"/>
    <w:rsid w:val="35D46B3A"/>
    <w:rsid w:val="35E52AF5"/>
    <w:rsid w:val="36596385"/>
    <w:rsid w:val="367207C6"/>
    <w:rsid w:val="36A55DE0"/>
    <w:rsid w:val="37AC319E"/>
    <w:rsid w:val="37C64260"/>
    <w:rsid w:val="37EA43F2"/>
    <w:rsid w:val="38003C16"/>
    <w:rsid w:val="389B749B"/>
    <w:rsid w:val="38C06F01"/>
    <w:rsid w:val="390B04A7"/>
    <w:rsid w:val="39FA5C2A"/>
    <w:rsid w:val="3A021146"/>
    <w:rsid w:val="3A7206CF"/>
    <w:rsid w:val="3B135A0E"/>
    <w:rsid w:val="3BC66F24"/>
    <w:rsid w:val="3BC92571"/>
    <w:rsid w:val="3C5809F1"/>
    <w:rsid w:val="3CB1422C"/>
    <w:rsid w:val="3DDF7E2A"/>
    <w:rsid w:val="3E16027D"/>
    <w:rsid w:val="3E742C68"/>
    <w:rsid w:val="3E990920"/>
    <w:rsid w:val="3E9926CE"/>
    <w:rsid w:val="3EAD617A"/>
    <w:rsid w:val="3FB3156E"/>
    <w:rsid w:val="3FFF1345"/>
    <w:rsid w:val="40257AEB"/>
    <w:rsid w:val="40750F19"/>
    <w:rsid w:val="418036D2"/>
    <w:rsid w:val="41D00C05"/>
    <w:rsid w:val="420F2CA7"/>
    <w:rsid w:val="425C25C6"/>
    <w:rsid w:val="425F59DD"/>
    <w:rsid w:val="43346E69"/>
    <w:rsid w:val="4353542C"/>
    <w:rsid w:val="43A959FE"/>
    <w:rsid w:val="43EF2D90"/>
    <w:rsid w:val="446F7A2D"/>
    <w:rsid w:val="44733E68"/>
    <w:rsid w:val="453E5D7D"/>
    <w:rsid w:val="45B61DB8"/>
    <w:rsid w:val="45C049E4"/>
    <w:rsid w:val="46506E72"/>
    <w:rsid w:val="46BD2CD2"/>
    <w:rsid w:val="46C40F46"/>
    <w:rsid w:val="471072A6"/>
    <w:rsid w:val="48403BBB"/>
    <w:rsid w:val="48666871"/>
    <w:rsid w:val="491C63D6"/>
    <w:rsid w:val="49671123"/>
    <w:rsid w:val="499C12C5"/>
    <w:rsid w:val="4A407EA2"/>
    <w:rsid w:val="4B7047B7"/>
    <w:rsid w:val="4D113D78"/>
    <w:rsid w:val="4D16138E"/>
    <w:rsid w:val="4DF220F6"/>
    <w:rsid w:val="4E7520E4"/>
    <w:rsid w:val="4F5F526E"/>
    <w:rsid w:val="4FFF1E66"/>
    <w:rsid w:val="51314000"/>
    <w:rsid w:val="522A6CE4"/>
    <w:rsid w:val="52636E23"/>
    <w:rsid w:val="52850580"/>
    <w:rsid w:val="52A665A4"/>
    <w:rsid w:val="52D4387D"/>
    <w:rsid w:val="5328051C"/>
    <w:rsid w:val="53531EFE"/>
    <w:rsid w:val="535624E4"/>
    <w:rsid w:val="53C40DF9"/>
    <w:rsid w:val="5402266C"/>
    <w:rsid w:val="54AD25D8"/>
    <w:rsid w:val="54EB2E1F"/>
    <w:rsid w:val="55E42029"/>
    <w:rsid w:val="55F45FE4"/>
    <w:rsid w:val="56334D5F"/>
    <w:rsid w:val="574134AB"/>
    <w:rsid w:val="581B032E"/>
    <w:rsid w:val="582708F3"/>
    <w:rsid w:val="583F5C3D"/>
    <w:rsid w:val="586B6A32"/>
    <w:rsid w:val="58DE1F33"/>
    <w:rsid w:val="58FC4F69"/>
    <w:rsid w:val="5943350B"/>
    <w:rsid w:val="594352B9"/>
    <w:rsid w:val="59E051FD"/>
    <w:rsid w:val="5A513A05"/>
    <w:rsid w:val="5A5D684E"/>
    <w:rsid w:val="5AA224B3"/>
    <w:rsid w:val="5B0647F0"/>
    <w:rsid w:val="5B070568"/>
    <w:rsid w:val="5B136F0D"/>
    <w:rsid w:val="5B4B1EC1"/>
    <w:rsid w:val="5BBC0EAA"/>
    <w:rsid w:val="5C037EDF"/>
    <w:rsid w:val="5C221AFD"/>
    <w:rsid w:val="5C7659A5"/>
    <w:rsid w:val="5CC9362F"/>
    <w:rsid w:val="5CD10E2D"/>
    <w:rsid w:val="5D4A130C"/>
    <w:rsid w:val="5E3D49CC"/>
    <w:rsid w:val="5EEA6F8D"/>
    <w:rsid w:val="60196D73"/>
    <w:rsid w:val="60CE4002"/>
    <w:rsid w:val="62465E1A"/>
    <w:rsid w:val="62570809"/>
    <w:rsid w:val="627B1F67"/>
    <w:rsid w:val="628506F0"/>
    <w:rsid w:val="63275C4B"/>
    <w:rsid w:val="63FA61A4"/>
    <w:rsid w:val="651105D5"/>
    <w:rsid w:val="65501D46"/>
    <w:rsid w:val="65750EF0"/>
    <w:rsid w:val="658B25CF"/>
    <w:rsid w:val="65DC4ACB"/>
    <w:rsid w:val="67672ABA"/>
    <w:rsid w:val="67AA29A7"/>
    <w:rsid w:val="67CA4DF7"/>
    <w:rsid w:val="688431F8"/>
    <w:rsid w:val="68E87407"/>
    <w:rsid w:val="68EC771B"/>
    <w:rsid w:val="696C0215"/>
    <w:rsid w:val="69A91168"/>
    <w:rsid w:val="69AF0FBD"/>
    <w:rsid w:val="69B63885"/>
    <w:rsid w:val="6AC61BF3"/>
    <w:rsid w:val="6AEE0103"/>
    <w:rsid w:val="6B321631"/>
    <w:rsid w:val="6B785296"/>
    <w:rsid w:val="6B901CD8"/>
    <w:rsid w:val="6BA3608B"/>
    <w:rsid w:val="6C6B6BA9"/>
    <w:rsid w:val="6CA87639"/>
    <w:rsid w:val="6DFF1C9E"/>
    <w:rsid w:val="6E166FE8"/>
    <w:rsid w:val="6E2B6899"/>
    <w:rsid w:val="6E773123"/>
    <w:rsid w:val="6E7C3ECE"/>
    <w:rsid w:val="6FBE16E5"/>
    <w:rsid w:val="70967F6C"/>
    <w:rsid w:val="716562BC"/>
    <w:rsid w:val="718B3849"/>
    <w:rsid w:val="71F47640"/>
    <w:rsid w:val="723D0FE7"/>
    <w:rsid w:val="72640322"/>
    <w:rsid w:val="7309711B"/>
    <w:rsid w:val="73165394"/>
    <w:rsid w:val="733F6699"/>
    <w:rsid w:val="736600CA"/>
    <w:rsid w:val="744E128A"/>
    <w:rsid w:val="748F53FE"/>
    <w:rsid w:val="763E0E8A"/>
    <w:rsid w:val="766227CC"/>
    <w:rsid w:val="768C7332"/>
    <w:rsid w:val="76F0487A"/>
    <w:rsid w:val="77426567"/>
    <w:rsid w:val="77493F8A"/>
    <w:rsid w:val="77AE3901"/>
    <w:rsid w:val="78174088"/>
    <w:rsid w:val="78574485"/>
    <w:rsid w:val="78770683"/>
    <w:rsid w:val="787943FB"/>
    <w:rsid w:val="78BD69DE"/>
    <w:rsid w:val="78E958F6"/>
    <w:rsid w:val="791F6178"/>
    <w:rsid w:val="7B08766C"/>
    <w:rsid w:val="7B9F65A8"/>
    <w:rsid w:val="7BE211F3"/>
    <w:rsid w:val="7C0B180E"/>
    <w:rsid w:val="7C594C70"/>
    <w:rsid w:val="7D0932A6"/>
    <w:rsid w:val="7D11554A"/>
    <w:rsid w:val="7DAD0FE3"/>
    <w:rsid w:val="7DC425BD"/>
    <w:rsid w:val="7DDA593C"/>
    <w:rsid w:val="7F370B6C"/>
    <w:rsid w:val="7FFB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100" w:beforeLines="0" w:beforeAutospacing="0" w:after="100" w:afterLines="0" w:afterAutospacing="0" w:line="240" w:lineRule="auto"/>
      <w:ind w:firstLine="0" w:firstLineChars="0"/>
      <w:outlineLvl w:val="1"/>
    </w:pPr>
    <w:rPr>
      <w:b/>
      <w:sz w:val="32"/>
    </w:rPr>
  </w:style>
  <w:style w:type="character" w:default="1" w:styleId="14">
    <w:name w:val="Default Paragraph Font"/>
    <w:semiHidden/>
    <w:qFormat/>
    <w:uiPriority w:val="0"/>
    <w:rPr>
      <w:rFonts w:ascii="Calibri" w:hAnsi="Calibri" w:eastAsia="仿宋_GB2312"/>
      <w:sz w:val="32"/>
    </w:rPr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jc w:val="center"/>
    </w:pPr>
    <w:rPr>
      <w:rFonts w:ascii="Times New Roman" w:hAnsi="Times New Roman" w:eastAsia="黑体" w:cs="Times New Roman"/>
      <w:sz w:val="36"/>
      <w:szCs w:val="20"/>
    </w:rPr>
  </w:style>
  <w:style w:type="paragraph" w:styleId="4">
    <w:name w:val="Body Text 2"/>
    <w:basedOn w:val="1"/>
    <w:qFormat/>
    <w:uiPriority w:val="0"/>
    <w:pPr>
      <w:spacing w:line="480" w:lineRule="auto"/>
    </w:pPr>
    <w:rPr>
      <w:rFonts w:ascii="Times New Roman" w:hAnsi="Times New Roman" w:eastAsia="宋体" w:cs="Times New Roman"/>
    </w:rPr>
  </w:style>
  <w:style w:type="paragraph" w:styleId="5">
    <w:name w:val="Body Text Indent"/>
    <w:basedOn w:val="1"/>
    <w:next w:val="6"/>
    <w:qFormat/>
    <w:uiPriority w:val="0"/>
    <w:pPr>
      <w:spacing w:after="120"/>
      <w:ind w:left="420" w:leftChars="200"/>
    </w:pPr>
  </w:style>
  <w:style w:type="paragraph" w:styleId="6">
    <w:name w:val="envelope return"/>
    <w:basedOn w:val="1"/>
    <w:qFormat/>
    <w:uiPriority w:val="0"/>
    <w:pPr>
      <w:widowControl w:val="0"/>
      <w:snapToGrid w:val="0"/>
      <w:jc w:val="both"/>
    </w:pPr>
    <w:rPr>
      <w:rFonts w:ascii="Arial" w:hAnsi="Arial" w:eastAsia="宋体" w:cs="Times New Roman"/>
      <w:kern w:val="2"/>
      <w:sz w:val="21"/>
      <w:szCs w:val="22"/>
      <w:lang w:val="en-US" w:eastAsia="zh-CN" w:bidi="ar-SA"/>
    </w:rPr>
  </w:style>
  <w:style w:type="paragraph" w:styleId="7">
    <w:name w:val="Plain Text"/>
    <w:basedOn w:val="1"/>
    <w:qFormat/>
    <w:uiPriority w:val="0"/>
    <w:rPr>
      <w:sz w:val="24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11">
    <w:name w:val="Body Text First Indent"/>
    <w:basedOn w:val="3"/>
    <w:next w:val="12"/>
    <w:qFormat/>
    <w:uiPriority w:val="0"/>
    <w:pPr>
      <w:ind w:firstLine="420" w:firstLineChars="100"/>
    </w:pPr>
    <w:rPr>
      <w:rFonts w:ascii="宋体" w:hAnsi="Times New Roman" w:eastAsia="宋体" w:cs="Times New Roman"/>
      <w:kern w:val="0"/>
      <w:sz w:val="34"/>
      <w:szCs w:val="20"/>
    </w:rPr>
  </w:style>
  <w:style w:type="paragraph" w:styleId="12">
    <w:name w:val="Body Text First Indent 2"/>
    <w:basedOn w:val="5"/>
    <w:qFormat/>
    <w:uiPriority w:val="0"/>
    <w:pPr>
      <w:adjustRightInd w:val="0"/>
      <w:snapToGrid w:val="0"/>
      <w:spacing w:beforeAutospacing="1" w:afterAutospacing="1" w:line="360" w:lineRule="auto"/>
      <w:ind w:left="480" w:firstLine="562" w:firstLineChars="200"/>
      <w:jc w:val="left"/>
    </w:pPr>
    <w:rPr>
      <w:rFonts w:hint="eastAsia" w:ascii="仿宋_GB2312" w:hAnsi="仿宋_GB2312" w:cs="Times New Roman"/>
      <w:szCs w:val="30"/>
      <w:lang w:eastAsia="en-US"/>
    </w:rPr>
  </w:style>
  <w:style w:type="paragraph" w:customStyle="1" w:styleId="15">
    <w:name w:val="Body Text First Indent"/>
    <w:basedOn w:val="3"/>
    <w:qFormat/>
    <w:uiPriority w:val="0"/>
    <w:pPr>
      <w:adjustRightInd w:val="0"/>
      <w:spacing w:line="312" w:lineRule="atLeast"/>
      <w:ind w:firstLine="420"/>
      <w:textAlignment w:val="baseline"/>
    </w:pPr>
    <w:rPr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1747</Words>
  <Characters>1805</Characters>
  <Lines>0</Lines>
  <Paragraphs>0</Paragraphs>
  <TotalTime>0</TotalTime>
  <ScaleCrop>false</ScaleCrop>
  <LinksUpToDate>false</LinksUpToDate>
  <CharactersWithSpaces>1841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2025-10-17T00:22:00Z</dcterms:created>
  <dc:creator>小雨</dc:creator>
  <cp:lastModifiedBy>WPS_1658882146</cp:lastModifiedBy>
  <dcterms:modified xsi:type="dcterms:W3CDTF">2026-10-09T00:47:25Z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E0E0731E21214D409417FD50E4C7D3E5_13</vt:lpwstr>
  </property>
  <property fmtid="{D5CDD505-2E9C-101B-9397-08002B2CF9AE}" pid="4" name="KSOTemplateDocerSaveRecord">
    <vt:lpwstr>eyJoZGlkIjoiOTIyY2E1Y2MxN2RlNmU3MWE5ZTI4MTRkNjNlNGE0MTMiLCJ1c2VySWQiOiIyMjI0MzU2NzYifQ==</vt:lpwstr>
  </property>
</Properties>
</file>