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3D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  <w:t>附件1</w:t>
      </w:r>
    </w:p>
    <w:p w14:paraId="110FB226">
      <w:pPr>
        <w:shd w:val="clear" w:color="auto" w:fill="auto"/>
        <w:spacing w:line="560" w:lineRule="exact"/>
        <w:jc w:val="center"/>
        <w:rPr>
          <w:rFonts w:hint="eastAsia" w:ascii="Batang" w:hAnsi="Batang" w:eastAsia="Batang" w:cs="Batang"/>
          <w:b w:val="0"/>
          <w:bCs/>
          <w:sz w:val="44"/>
          <w:szCs w:val="44"/>
        </w:rPr>
      </w:pPr>
      <w:r>
        <w:rPr>
          <w:rFonts w:hint="eastAsia" w:ascii="Batang" w:hAnsi="Batang" w:eastAsia="Batang" w:cs="Batang"/>
          <w:b w:val="0"/>
          <w:bCs/>
          <w:sz w:val="44"/>
          <w:szCs w:val="44"/>
        </w:rPr>
        <w:t>报价单</w:t>
      </w:r>
    </w:p>
    <w:p w14:paraId="0DF2C1EA">
      <w:pPr>
        <w:shd w:val="clear" w:color="auto" w:fill="auto"/>
        <w:spacing w:line="560" w:lineRule="exact"/>
        <w:jc w:val="center"/>
        <w:rPr>
          <w:rFonts w:ascii="FangSong_GB2312" w:hAnsi="仿宋" w:eastAsia="FangSong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D01E5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3220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67D20ED">
            <w:pPr>
              <w:jc w:val="both"/>
              <w:rPr>
                <w:rFonts w:hint="eastAsia" w:ascii="FangSong_GB2312" w:hAnsi="FangSong_GB2312" w:eastAsia="FangSong_GB2312" w:cs="FangSong_GB2312"/>
                <w:color w:val="333333"/>
                <w:sz w:val="32"/>
                <w:szCs w:val="32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en-US" w:eastAsia="zh-CN"/>
              </w:rPr>
              <w:t>许建物业经营性资产租赁价格评估年度框架咨询项目</w:t>
            </w:r>
          </w:p>
          <w:p w14:paraId="23E919B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FangSong_GB2312" w:hAnsi="FangSong_GB2312" w:eastAsia="FangSong_GB2312" w:cs="FangSong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E5026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064B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95FE6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FangSong_GB2312" w:hAnsi="宋体" w:eastAsia="FangSong_GB2312" w:cs="FangSong_GB2312"/>
                <w:b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FangSong_GB2312" w:hAnsi="宋体" w:eastAsia="FangSong_GB2312" w:cs="FangSong_GB2312"/>
                <w:b w:val="0"/>
                <w:bCs/>
                <w:color w:val="00000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FangSong_GB2312" w:hAnsi="宋体" w:eastAsia="FangSong_GB2312" w:cs="FangSong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  <w:r>
              <w:rPr>
                <w:rFonts w:hint="eastAsia" w:ascii="FangSong_GB2312" w:hAnsi="宋体" w:eastAsia="FangSong_GB2312" w:cs="FangSong_GB2312"/>
                <w:b w:val="0"/>
                <w:bCs/>
                <w:color w:val="000000"/>
                <w:sz w:val="32"/>
                <w:szCs w:val="32"/>
                <w:lang w:eastAsia="zh-CN"/>
              </w:rPr>
              <w:t>）</w:t>
            </w:r>
          </w:p>
        </w:tc>
      </w:tr>
      <w:tr w14:paraId="25A563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D3A8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63804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sz w:val="32"/>
                <w:szCs w:val="32"/>
              </w:rPr>
            </w:pPr>
          </w:p>
        </w:tc>
      </w:tr>
      <w:tr w14:paraId="355117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2DF16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BD11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sz w:val="32"/>
                <w:szCs w:val="32"/>
              </w:rPr>
            </w:pPr>
          </w:p>
        </w:tc>
      </w:tr>
      <w:tr w14:paraId="773EBE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584A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9229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46EFD3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B7ED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912E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</w:rPr>
              <w:t>**</w:t>
            </w: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  <w:lang w:eastAsia="zh-CN"/>
              </w:rPr>
              <w:t>元</w:t>
            </w:r>
            <w:r>
              <w:rPr>
                <w:rFonts w:hint="eastAsia" w:ascii="FangSong_GB2312" w:hAnsi="宋体" w:eastAsia="FangSong_GB2312" w:cs="FangSong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/年（含税）</w:t>
            </w:r>
          </w:p>
        </w:tc>
      </w:tr>
    </w:tbl>
    <w:p w14:paraId="19ED55E8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</w:p>
    <w:p w14:paraId="7DC614C1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</w:p>
    <w:p w14:paraId="5304D628">
      <w:pPr>
        <w:pStyle w:val="3"/>
        <w:numPr>
          <w:ilvl w:val="0"/>
          <w:numId w:val="0"/>
        </w:numPr>
        <w:ind w:left="254" w:leftChars="0" w:firstLine="5461" w:firstLineChars="1700"/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  <w:t>年    月    日</w:t>
      </w:r>
    </w:p>
    <w:p w14:paraId="58ADCA61">
      <w:pPr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</w:p>
    <w:p w14:paraId="4349D456">
      <w:pPr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highlight w:val="none"/>
          <w:lang w:val="en-US" w:eastAsia="zh-CN"/>
        </w:rPr>
        <w:t>附件2</w:t>
      </w:r>
    </w:p>
    <w:p w14:paraId="2E6EFAEA">
      <w:pPr>
        <w:pStyle w:val="8"/>
        <w:spacing w:line="240" w:lineRule="auto"/>
        <w:ind w:firstLine="0" w:firstLineChars="0"/>
        <w:contextualSpacing/>
        <w:jc w:val="center"/>
        <w:rPr>
          <w:rFonts w:hint="eastAsia" w:ascii="Batang" w:hAnsi="Batang" w:eastAsia="Batang" w:cs="Batang"/>
          <w:b w:val="0"/>
          <w:bCs/>
          <w:sz w:val="44"/>
          <w:szCs w:val="44"/>
          <w:lang w:val="zh-CN"/>
        </w:rPr>
      </w:pPr>
      <w:r>
        <w:rPr>
          <w:rFonts w:hint="eastAsia" w:ascii="Batang" w:hAnsi="Batang" w:eastAsia="Batang" w:cs="Batang"/>
          <w:b w:val="0"/>
          <w:bCs/>
          <w:sz w:val="44"/>
          <w:szCs w:val="44"/>
          <w:lang w:val="zh-CN"/>
        </w:rPr>
        <w:t>评标标准</w:t>
      </w:r>
    </w:p>
    <w:p w14:paraId="59137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一、资格审查</w:t>
      </w:r>
    </w:p>
    <w:p w14:paraId="482DB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FangSong_GB2312" w:hAnsi="FangSong_GB2312" w:eastAsia="FangSong_GB2312" w:cs="FangSong_GB2312"/>
          <w:color w:val="FF0000"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lang w:eastAsia="zh-CN"/>
        </w:rPr>
        <w:t>评审小组对</w:t>
      </w:r>
      <w:r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  <w:t>申请</w:t>
      </w:r>
      <w:r>
        <w:rPr>
          <w:rFonts w:hint="eastAsia" w:ascii="FangSong_GB2312" w:hAnsi="FangSong_GB2312" w:eastAsia="FangSong_GB2312" w:cs="FangSong_GB2312"/>
          <w:sz w:val="32"/>
          <w:szCs w:val="32"/>
          <w:lang w:eastAsia="zh-CN"/>
        </w:rPr>
        <w:t>人资格进行检查。</w:t>
      </w:r>
      <w:r>
        <w:rPr>
          <w:rFonts w:hint="eastAsia" w:ascii="FangSong_GB2312" w:hAnsi="FangSong_GB2312" w:eastAsia="FangSong_GB2312" w:cs="FangSong_GB2312"/>
          <w:sz w:val="32"/>
          <w:szCs w:val="32"/>
          <w:lang w:val="zh-CN" w:eastAsia="zh-CN"/>
        </w:rPr>
        <w:t>确定符合资格的</w:t>
      </w:r>
      <w:r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  <w:t>申请</w:t>
      </w:r>
      <w:r>
        <w:rPr>
          <w:rFonts w:hint="eastAsia" w:ascii="FangSong_GB2312" w:hAnsi="FangSong_GB2312" w:eastAsia="FangSong_GB2312" w:cs="FangSong_GB2312"/>
          <w:sz w:val="32"/>
          <w:szCs w:val="32"/>
          <w:lang w:val="zh-CN" w:eastAsia="zh-CN"/>
        </w:rPr>
        <w:t>人不少于3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zh-CN" w:eastAsia="zh-CN"/>
        </w:rPr>
        <w:t>。</w:t>
      </w:r>
    </w:p>
    <w:p w14:paraId="53E1D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en-US" w:eastAsia="zh-CN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en-US" w:eastAsia="zh-CN"/>
        </w:rPr>
        <w:t>二、评审</w:t>
      </w:r>
    </w:p>
    <w:p w14:paraId="45FF0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（一）评审方法</w:t>
      </w:r>
    </w:p>
    <w:p w14:paraId="647F1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FangSong_GB2312" w:hAnsi="FangSong_GB2312" w:eastAsia="FangSong_GB2312" w:cs="FangSong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34EF9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7616"/>
      </w:tblGrid>
      <w:tr w14:paraId="6717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83" w:type="dxa"/>
            <w:vAlign w:val="center"/>
          </w:tcPr>
          <w:p w14:paraId="671835CA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  <w:t>分值构成</w:t>
            </w:r>
          </w:p>
          <w:p w14:paraId="1DD24AFE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  <w:t>(总分100分)</w:t>
            </w:r>
          </w:p>
        </w:tc>
        <w:tc>
          <w:tcPr>
            <w:tcW w:w="7616" w:type="dxa"/>
            <w:vAlign w:val="center"/>
          </w:tcPr>
          <w:p w14:paraId="0BCC587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  <w:t>企业报价：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 xml:space="preserve"> 30 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/>
              </w:rPr>
              <w:t>分</w:t>
            </w:r>
          </w:p>
          <w:p w14:paraId="50098101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服务方案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 xml:space="preserve"> 30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分</w:t>
            </w:r>
          </w:p>
          <w:p w14:paraId="5B0D7D48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企业业绩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 xml:space="preserve"> 20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分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</w:p>
          <w:p w14:paraId="0FACA53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highlight w:val="none"/>
                <w:lang w:val="en-US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 xml:space="preserve">管理机构： 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分</w:t>
            </w:r>
          </w:p>
        </w:tc>
      </w:tr>
      <w:tr w14:paraId="0701B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79CE">
            <w:pPr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7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49F2">
            <w:pPr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zh-CN"/>
              </w:rPr>
              <w:t>评标标准</w:t>
            </w:r>
          </w:p>
        </w:tc>
      </w:tr>
      <w:tr w14:paraId="4049C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2F6FA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  <w:t>报价</w:t>
            </w:r>
          </w:p>
          <w:p w14:paraId="2D88B909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  <w:t>分）</w:t>
            </w:r>
          </w:p>
        </w:tc>
        <w:tc>
          <w:tcPr>
            <w:tcW w:w="7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119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560" w:lineRule="exact"/>
              <w:jc w:val="both"/>
              <w:textAlignment w:val="auto"/>
              <w:rPr>
                <w:rFonts w:hint="eastAsia" w:ascii="FangSong_GB2312" w:hAnsi="FangSong_GB2312" w:eastAsia="FangSong_GB2312" w:cs="FangSong_GB2312"/>
                <w:sz w:val="32"/>
                <w:szCs w:val="32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zh-CN"/>
              </w:rPr>
              <w:t>1、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投标报价超过控制价的为无效报价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eastAsia="zh-CN"/>
              </w:rPr>
              <w:t>；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en-US" w:eastAsia="zh-CN"/>
              </w:rPr>
              <w:t>2、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所有参与的申请人最低的有效报价为基准报价，报价得分=（基准报价/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eastAsia="zh-CN"/>
              </w:rPr>
              <w:t>最终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报价）×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</w:rPr>
              <w:t>分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lang w:eastAsia="zh-CN"/>
              </w:rPr>
              <w:t>。</w:t>
            </w:r>
          </w:p>
          <w:p w14:paraId="36AE4361">
            <w:pPr>
              <w:widowControl/>
              <w:adjustRightInd w:val="0"/>
              <w:snapToGrid w:val="0"/>
              <w:spacing w:line="276" w:lineRule="auto"/>
              <w:ind w:firstLine="640" w:firstLineChars="200"/>
              <w:jc w:val="left"/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/>
              </w:rPr>
            </w:pPr>
          </w:p>
        </w:tc>
      </w:tr>
      <w:tr w14:paraId="6398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2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0746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服务方案</w:t>
            </w:r>
          </w:p>
          <w:p w14:paraId="5A10400A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7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53A56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1.阐述</w:t>
            </w:r>
            <w:r>
              <w:rPr>
                <w:rFonts w:hint="eastAsia" w:eastAsia="FangSong_GB2312" w:cs="Times New Roman"/>
                <w:sz w:val="32"/>
                <w:szCs w:val="32"/>
                <w:highlight w:val="none"/>
                <w:lang w:val="en-US" w:eastAsia="zh-CN"/>
              </w:rPr>
              <w:t>资产评估机构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各阶段的工作内容、工作重点、工作方法和工作流程（0-10分）</w:t>
            </w:r>
          </w:p>
          <w:p w14:paraId="134B5615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2.阐述评估过程中的风险防控、保密措施及服务承诺（0-10分）</w:t>
            </w:r>
          </w:p>
          <w:p w14:paraId="57D5D8D3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 w:firstLine="640" w:firstLineChars="20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3.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响应时限及现场勘察承诺：投标人须承诺在服务期内，接到采购人评估通知后，无论评估标的面积大小需现场勘察，项目所在地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在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主城区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的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2小时内、其他区域4小时内到达现场。提供承诺函及保障措施，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承诺内容包括到场勘察、零星项目保障、报告出具时限、应急保障与违约承诺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zh-CN" w:eastAsia="zh-CN"/>
              </w:rPr>
              <w:t>。满足得10分，每有一项不满足扣2分；未提供不得分。</w:t>
            </w:r>
          </w:p>
        </w:tc>
      </w:tr>
      <w:tr w14:paraId="626F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  <w:jc w:val="center"/>
        </w:trPr>
        <w:tc>
          <w:tcPr>
            <w:tcW w:w="2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2A2E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企业业绩</w:t>
            </w:r>
          </w:p>
          <w:p w14:paraId="5069A395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（20分）</w:t>
            </w:r>
          </w:p>
        </w:tc>
        <w:tc>
          <w:tcPr>
            <w:tcW w:w="7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139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sz w:val="32"/>
                <w:szCs w:val="32"/>
                <w:highlight w:val="none"/>
                <w:lang w:val="en-US" w:eastAsia="zh-CN"/>
              </w:rPr>
              <w:t>1.近3年（投标截止之日前36个月，合同签订时间为准）承接过不动产出租评估项目的，每项得5分，本项最高得10分。</w:t>
            </w:r>
            <w:r>
              <w:rPr>
                <w:rFonts w:hint="default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  <w:t>（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时间以合同签订时间为准，需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提供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合同、资产评估业务报告备案回执）</w:t>
            </w:r>
            <w:r>
              <w:rPr>
                <w:rFonts w:hint="eastAsia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  <w:t>；</w:t>
            </w:r>
          </w:p>
          <w:p w14:paraId="058879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kern w:val="2"/>
                <w:sz w:val="32"/>
                <w:szCs w:val="32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近3年（</w:t>
            </w:r>
            <w:r>
              <w:rPr>
                <w:rFonts w:hint="eastAsia" w:ascii="FangSong_GB2312" w:hAnsi="FangSong_GB2312" w:eastAsia="FangSong_GB2312" w:cs="FangSong_GB2312"/>
                <w:color w:val="auto"/>
                <w:sz w:val="32"/>
                <w:szCs w:val="32"/>
                <w:highlight w:val="none"/>
                <w:lang w:val="en-US" w:eastAsia="zh-CN"/>
              </w:rPr>
              <w:t>投标截止之日前36个月，合同签订时间为准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）承接过国资项目资产评估服务的，每项得5分，本项最高得10分。</w:t>
            </w:r>
            <w:r>
              <w:rPr>
                <w:rFonts w:hint="default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  <w:t>（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时间以合同签订时间为准，需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提供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合同、资产评估业务报告备案回执</w:t>
            </w:r>
            <w:r>
              <w:rPr>
                <w:rFonts w:hint="default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FangSong_GB2312" w:cs="Times New Roman"/>
                <w:sz w:val="32"/>
                <w:szCs w:val="32"/>
                <w:highlight w:val="none"/>
                <w:lang w:val="en-US" w:eastAsia="zh-CN"/>
              </w:rPr>
              <w:t>。</w:t>
            </w:r>
          </w:p>
          <w:p w14:paraId="37B964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3" w:firstLineChars="200"/>
              <w:jc w:val="both"/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sz w:val="32"/>
                <w:szCs w:val="32"/>
                <w:highlight w:val="none"/>
                <w:lang w:val="en-US" w:eastAsia="zh-CN"/>
              </w:rPr>
              <w:t>注意：不动产出租评估业绩若与国资项目资产评估属于同类业绩，不重复计算，同一项目仅计为1项有效业绩。</w:t>
            </w:r>
          </w:p>
        </w:tc>
      </w:tr>
      <w:tr w14:paraId="450E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  <w:jc w:val="center"/>
        </w:trPr>
        <w:tc>
          <w:tcPr>
            <w:tcW w:w="2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642C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管理机构</w:t>
            </w:r>
          </w:p>
          <w:p w14:paraId="3E9579B3">
            <w:pPr>
              <w:adjustRightInd w:val="0"/>
              <w:snapToGrid w:val="0"/>
              <w:spacing w:line="276" w:lineRule="auto"/>
              <w:jc w:val="center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（</w:t>
            </w:r>
            <w:r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0分）</w:t>
            </w:r>
          </w:p>
        </w:tc>
        <w:tc>
          <w:tcPr>
            <w:tcW w:w="7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53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根据评估机构资产评估师备案人数为标准。</w:t>
            </w:r>
          </w:p>
          <w:p w14:paraId="4AFA88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人数10人（含）以上，得20分；</w:t>
            </w:r>
          </w:p>
          <w:p w14:paraId="50F3F8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人数8人（含）-10人，得15分；</w:t>
            </w:r>
          </w:p>
          <w:p w14:paraId="51B72C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人数6人（含）-8人，得10分；</w:t>
            </w:r>
          </w:p>
          <w:p w14:paraId="57A963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人数6人以下，得5分。</w:t>
            </w:r>
          </w:p>
          <w:p w14:paraId="453C47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 w:firstLine="640" w:firstLineChars="200"/>
              <w:jc w:val="both"/>
              <w:rPr>
                <w:rFonts w:hint="default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sz w:val="32"/>
                <w:szCs w:val="32"/>
                <w:highlight w:val="none"/>
                <w:lang w:val="en-US" w:eastAsia="zh-CN"/>
              </w:rPr>
              <w:t>（备注：人数以中国资产评估协会官网查询截图为准，截图时间必须在本项目公告发布之日后，截图时间以网页自带时间为准）。</w:t>
            </w:r>
          </w:p>
        </w:tc>
      </w:tr>
    </w:tbl>
    <w:p w14:paraId="247F0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</w:pP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FangSong_GB2312" w:hAnsi="FangSong_GB2312" w:eastAsia="FangSong_GB2312" w:cs="FangSong_GB2312"/>
          <w:b/>
          <w:bCs/>
          <w:sz w:val="32"/>
          <w:szCs w:val="32"/>
          <w:lang w:val="zh-CN" w:eastAsia="zh-CN"/>
        </w:rPr>
        <w:t>候选人</w:t>
      </w:r>
    </w:p>
    <w:p w14:paraId="50C5D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lang w:eastAsia="zh-CN"/>
        </w:rPr>
        <w:t>比选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0DF31FFB">
      <w:pP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br w:type="page"/>
      </w:r>
    </w:p>
    <w:p w14:paraId="53E76669">
      <w:pPr>
        <w:pStyle w:val="12"/>
        <w:spacing w:before="100" w:after="100"/>
        <w:ind w:left="0" w:leftChars="0" w:firstLine="0" w:firstLineChars="0"/>
        <w:rPr>
          <w:rFonts w:hint="default" w:eastAsia="FangSong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4E584703">
      <w:pPr>
        <w:jc w:val="center"/>
        <w:rPr>
          <w:rFonts w:hint="eastAsia" w:ascii="Batang" w:hAnsi="Batang" w:eastAsia="Batang" w:cs="Batang"/>
          <w:sz w:val="44"/>
          <w:szCs w:val="44"/>
        </w:rPr>
      </w:pPr>
      <w:r>
        <w:rPr>
          <w:rFonts w:hint="eastAsia" w:ascii="Batang" w:hAnsi="Batang" w:eastAsia="Batang" w:cs="Batang"/>
          <w:sz w:val="44"/>
          <w:szCs w:val="44"/>
        </w:rPr>
        <w:t>廉洁</w:t>
      </w:r>
      <w:r>
        <w:rPr>
          <w:rFonts w:hint="eastAsia" w:ascii="Batang" w:hAnsi="Batang" w:eastAsia="Batang" w:cs="Batang"/>
          <w:sz w:val="44"/>
          <w:szCs w:val="44"/>
          <w:lang w:val="en-US" w:eastAsia="zh-CN"/>
        </w:rPr>
        <w:t>自</w:t>
      </w:r>
      <w:r>
        <w:rPr>
          <w:rFonts w:hint="eastAsia" w:ascii="Batang" w:hAnsi="Batang" w:eastAsia="Batang" w:cs="Batang"/>
          <w:sz w:val="44"/>
          <w:szCs w:val="44"/>
        </w:rPr>
        <w:t>律承诺书</w:t>
      </w:r>
    </w:p>
    <w:p w14:paraId="002890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</w:p>
    <w:p w14:paraId="08735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致: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公司</w:t>
      </w:r>
    </w:p>
    <w:p w14:paraId="0044B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eastAsia="zh-CN"/>
        </w:rPr>
        <w:t>、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承诺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:</w:t>
      </w:r>
    </w:p>
    <w:p w14:paraId="25399331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rPr>
          <w:rFonts w:hint="eastAsia" w:ascii="FangSong_GB2312" w:hAnsi="FangSong_GB2312" w:eastAsia="FangSong_GB2312" w:cs="FangSong_GB2312"/>
          <w:color w:val="auto"/>
          <w:sz w:val="32"/>
          <w:szCs w:val="32"/>
          <w:lang w:eastAsia="zh-CN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eastAsia="zh-CN"/>
        </w:rPr>
        <w:t>。</w:t>
      </w:r>
    </w:p>
    <w:p w14:paraId="3327FF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进行贿赂或给予不正当利益。</w:t>
      </w:r>
    </w:p>
    <w:p w14:paraId="18D360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3.不进行任何可能影响招标公平、公正的活动或尝试干预评标过程。</w:t>
      </w:r>
    </w:p>
    <w:p w14:paraId="0724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35CDAF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FangSong_GB2312" w:hAnsi="FangSong_GB2312" w:eastAsia="FangSong_GB2312" w:cs="FangSong_GB2312"/>
          <w:color w:val="auto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auto"/>
          <w:sz w:val="32"/>
          <w:szCs w:val="32"/>
        </w:rPr>
        <w:t>特此承诺。</w:t>
      </w:r>
    </w:p>
    <w:p w14:paraId="60BC4C47">
      <w:pPr>
        <w:ind w:firstLine="6400" w:firstLineChars="2000"/>
        <w:rPr>
          <w:rFonts w:hint="eastAsia" w:ascii="FangSong_GB2312" w:hAnsi="FangSong_GB2312" w:eastAsia="FangSong_GB2312" w:cs="FangSong_GB2312"/>
          <w:sz w:val="32"/>
          <w:szCs w:val="32"/>
        </w:rPr>
      </w:pPr>
    </w:p>
    <w:p w14:paraId="735B58AF">
      <w:pPr>
        <w:ind w:firstLine="4160" w:firstLineChars="13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单位名称(盖章)</w:t>
      </w:r>
    </w:p>
    <w:p w14:paraId="76ABF16A">
      <w:pPr>
        <w:ind w:firstLine="4160" w:firstLineChars="1300"/>
        <w:rPr>
          <w:rFonts w:hint="default" w:ascii="FangSong_GB2312" w:hAnsi="FangSong_GB2312" w:eastAsia="FangSong_GB2312" w:cs="FangSong_GB2312"/>
          <w:sz w:val="32"/>
          <w:szCs w:val="32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日期:</w:t>
      </w:r>
    </w:p>
    <w:p w14:paraId="4947C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FangSong_GB2312" w:hAnsi="FangSong_GB2312" w:eastAsia="FangSong_GB2312" w:cs="FangSong_GB2312"/>
          <w:sz w:val="32"/>
          <w:szCs w:val="32"/>
          <w:highlight w:val="yellow"/>
          <w:lang w:val="en-US" w:eastAsia="zh-CN"/>
        </w:rPr>
      </w:pPr>
    </w:p>
    <w:p w14:paraId="326A8D8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38C1A7FC-1493-40CD-A2DB-BD82825847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  <w:embedRegular r:id="rId2" w:fontKey="{EDF34C08-93AE-497A-BF39-37038E9537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3CB86F3-3915-4C40-BC85-5D38689A8A04}"/>
  </w:font>
  <w:font w:name="WPSEMBED9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AEC97"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B3B86D7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GdxC3DAQAAhwMAAA4AAABkcnMvZTJvRG9jLnhtbK1TzY7TMBC+I/EO&#10;lu80aYWgRE1XSNUiJAQrLfsAruM0lvynGbdJXwDegBMX7jxXn4Oxk3TRctkDF2fGM/lmvm/Gm5vB&#10;GnZSgNq7mi8XJWfKSd9od6j5w9fbV2vOMArXCOOdqvlZIb/Zvnyx6UOlVr7zplHACMRh1YeadzGG&#10;qihQdsoKXPigHAVbD1ZEcuFQNCB6QremWJXlm6L30ATwUiHS7W4M8gkRngPo21ZLtfPyaJWLIyoo&#10;IyJRwk4H5NvcbdsqGb+0LarITM2JacwnFSF7n85iuxHVAUTotJxaEM9p4QknK7SjoleonYiCHUH/&#10;A2W1BI++jQvpbTESyYoQi2X5RJv7TgSVuZDUGK6i4/+DlZ9Pd8B0U/PX5bu3nDlhaeaXH98vP39f&#10;fn1jy6RQH7CixPtwB5OHZCa6Qws2fYkIG7Kq56uqaohM0uVyvVqvSxJcUmx2CKd4/D0Axg/KW5aM&#10;mgONLaspTp8wjqlzSqpmXDqdv9XGjNF0U6Q2x8aSFYf9MHW7982ZWPY05po72mrOzEdHKqaNmA2Y&#10;jf1sHAPoQ5dXJtXD8P4YqWZuKFUYYafCNJ9MadqltAB/+znr8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sZ3EL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3B86D7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chineseCountingThousand"/>
      <w:suff w:val="nothing"/>
      <w:lvlText w:val="第%1部分"/>
      <w:lvlJc w:val="center"/>
      <w:pPr>
        <w:ind w:left="-288" w:firstLine="288"/>
      </w:pPr>
      <w:rPr>
        <w:rFonts w:hint="eastAsia" w:cs="Times New Roman"/>
        <w:sz w:val="28"/>
        <w:szCs w:val="28"/>
      </w:rPr>
    </w:lvl>
    <w:lvl w:ilvl="1" w:tentative="0">
      <w:start w:val="1"/>
      <w:numFmt w:val="chineseCountingThousand"/>
      <w:pStyle w:val="3"/>
      <w:suff w:val="nothing"/>
      <w:lvlText w:val="%2、"/>
      <w:lvlJc w:val="left"/>
      <w:pPr>
        <w:ind w:left="254"/>
      </w:pPr>
      <w:rPr>
        <w:rFonts w:hint="eastAsia" w:ascii="宋体" w:hAnsi="宋体" w:eastAsia="宋体" w:cs="Times New Roman"/>
        <w:sz w:val="24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rPr>
        <w:rFonts w:hint="default" w:ascii="Times New Roman" w:hAnsi="Times New Roman" w:eastAsia="宋体" w:cs="Times New Roman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rPr>
        <w:rFonts w:hint="eastAsia" w:cs="Times New Roman"/>
      </w:rPr>
    </w:lvl>
    <w:lvl w:ilvl="4" w:tentative="0">
      <w:start w:val="1"/>
      <w:numFmt w:val="upperLetter"/>
      <w:suff w:val="nothing"/>
      <w:lvlText w:val="%5、"/>
      <w:lvlJc w:val="left"/>
      <w:rPr>
        <w:rFonts w:hint="eastAsia" w:cs="Times New Roman"/>
      </w:rPr>
    </w:lvl>
    <w:lvl w:ilvl="5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452FC"/>
    <w:rsid w:val="04091CEC"/>
    <w:rsid w:val="0497481B"/>
    <w:rsid w:val="04D17357"/>
    <w:rsid w:val="08DF3012"/>
    <w:rsid w:val="0CAF680C"/>
    <w:rsid w:val="15D227D3"/>
    <w:rsid w:val="18740AE5"/>
    <w:rsid w:val="1AFF2BC8"/>
    <w:rsid w:val="1D3F2508"/>
    <w:rsid w:val="1F7D6E36"/>
    <w:rsid w:val="21E81AAB"/>
    <w:rsid w:val="2BE80A3C"/>
    <w:rsid w:val="30BF3D80"/>
    <w:rsid w:val="437A718B"/>
    <w:rsid w:val="56651AF2"/>
    <w:rsid w:val="68CD1F2E"/>
    <w:rsid w:val="69CC3277"/>
    <w:rsid w:val="70622071"/>
    <w:rsid w:val="7CEB7477"/>
    <w:rsid w:val="7E62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618"/>
      <w:outlineLvl w:val="0"/>
    </w:pPr>
    <w:rPr>
      <w:rFonts w:hint="default" w:ascii="宋体"/>
      <w:sz w:val="56"/>
    </w:rPr>
  </w:style>
  <w:style w:type="paragraph" w:styleId="3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4">
    <w:name w:val="Default Paragraph Font"/>
    <w:qFormat/>
    <w:uiPriority w:val="0"/>
    <w:rPr>
      <w:rFonts w:ascii="Calibri" w:hAnsi="Calibri" w:eastAsia="FangSong_GB2312"/>
      <w:sz w:val="32"/>
    </w:rPr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6">
    <w:name w:val="Body Text Indent"/>
    <w:basedOn w:val="1"/>
    <w:next w:val="7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7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8">
    <w:name w:val="Plain Text"/>
    <w:basedOn w:val="1"/>
    <w:qFormat/>
    <w:uiPriority w:val="0"/>
    <w:rPr>
      <w:sz w:val="24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4"/>
    <w:next w:val="12"/>
    <w:qFormat/>
    <w:uiPriority w:val="0"/>
    <w:pPr>
      <w:ind w:firstLine="420" w:firstLineChars="100"/>
    </w:pPr>
    <w:rPr>
      <w:rFonts w:ascii="宋体"/>
      <w:kern w:val="0"/>
      <w:sz w:val="34"/>
    </w:rPr>
  </w:style>
  <w:style w:type="paragraph" w:styleId="12">
    <w:name w:val="Body Text First Indent 2"/>
    <w:basedOn w:val="6"/>
    <w:qFormat/>
    <w:uiPriority w:val="99"/>
    <w:pPr>
      <w:ind w:firstLine="420" w:firstLineChars="200"/>
    </w:p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Body Text First Indent_eaa5abb6-12b6-425c-a111-075586f63c4b"/>
    <w:basedOn w:val="4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1235</Words>
  <Characters>1277</Characters>
  <Paragraphs>92</Paragraphs>
  <TotalTime>0</TotalTime>
  <ScaleCrop>false</ScaleCrop>
  <LinksUpToDate>false</LinksUpToDate>
  <CharactersWithSpaces>1301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2025-08-20T00:22:00Z</dcterms:created>
  <dc:creator>小雨</dc:creator>
  <cp:lastModifiedBy>WPS_1658882146</cp:lastModifiedBy>
  <dcterms:modified xsi:type="dcterms:W3CDTF">2026-10-12T00:44:31Z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8D4B3C277B3B49478613EF95AE0B5F00_13</vt:lpwstr>
  </property>
  <property fmtid="{D5CDD505-2E9C-101B-9397-08002B2CF9AE}" pid="4" name="KSOTemplateDocerSaveRecord">
    <vt:lpwstr>eyJoZGlkIjoiOGRjZDRkNGFmNDAxMDZiNWFmMzgxNmQ1YTNkM2I4ZWIiLCJ1c2VySWQiOiIzMDE3MzU0MzQifQ==</vt:lpwstr>
  </property>
</Properties>
</file>