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FB8CA">
      <w:pPr>
        <w:keepNext w:val="0"/>
        <w:keepLines w:val="0"/>
        <w:pageBreakBefore w:val="0"/>
        <w:widowControl w:val="0"/>
        <w:kinsoku/>
        <w:wordWrap/>
        <w:overflowPunct/>
        <w:topLinePunct w:val="0"/>
        <w:autoSpaceDE/>
        <w:autoSpaceDN/>
        <w:bidi w:val="0"/>
        <w:adjustRightInd w:val="0"/>
        <w:snapToGrid w:val="0"/>
        <w:spacing w:line="520" w:lineRule="exact"/>
        <w:textAlignment w:val="auto"/>
        <w:rPr>
          <w:rFonts w:hint="default" w:ascii="仿宋_GB2312" w:hAnsi="仿宋_GB2312" w:eastAsia="仿宋_GB2312" w:cs="仿宋_GB2312"/>
          <w:sz w:val="32"/>
          <w:szCs w:val="32"/>
          <w:highlight w:val="none"/>
          <w:lang w:val="en-US" w:eastAsia="zh-CN"/>
        </w:rPr>
      </w:pPr>
      <w:bookmarkStart w:id="0" w:name="_GoBack"/>
      <w:bookmarkEnd w:id="0"/>
      <w:r>
        <w:rPr>
          <w:rFonts w:hint="eastAsia" w:ascii="仿宋_GB2312" w:hAnsi="仿宋_GB2312" w:eastAsia="仿宋_GB2312" w:cs="仿宋_GB2312"/>
          <w:sz w:val="32"/>
          <w:szCs w:val="32"/>
          <w:highlight w:val="none"/>
          <w:lang w:val="en-US" w:eastAsia="zh-CN"/>
        </w:rPr>
        <w:t>附件1</w:t>
      </w:r>
    </w:p>
    <w:p w14:paraId="1A529DFC">
      <w:pPr>
        <w:shd w:val="clear" w:color="auto" w:fill="auto"/>
        <w:spacing w:line="56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报价单</w:t>
      </w:r>
    </w:p>
    <w:p w14:paraId="578B334D">
      <w:pPr>
        <w:shd w:val="clear" w:color="auto" w:fill="auto"/>
        <w:spacing w:line="560" w:lineRule="exact"/>
        <w:jc w:val="center"/>
        <w:rPr>
          <w:rFonts w:ascii="仿宋_GB2312" w:hAnsi="仿宋" w:eastAsia="仿宋_GB2312" w:cs="仿宋"/>
          <w:b/>
          <w:sz w:val="32"/>
          <w:szCs w:val="32"/>
        </w:rPr>
      </w:pPr>
    </w:p>
    <w:tbl>
      <w:tblPr>
        <w:tblStyle w:val="13"/>
        <w:tblW w:w="8683" w:type="dxa"/>
        <w:tblInd w:w="0" w:type="dxa"/>
        <w:tblLayout w:type="fixed"/>
        <w:tblCellMar>
          <w:top w:w="15" w:type="dxa"/>
          <w:left w:w="15" w:type="dxa"/>
          <w:bottom w:w="15" w:type="dxa"/>
          <w:right w:w="15" w:type="dxa"/>
        </w:tblCellMar>
      </w:tblPr>
      <w:tblGrid>
        <w:gridCol w:w="3134"/>
        <w:gridCol w:w="5549"/>
      </w:tblGrid>
      <w:tr w14:paraId="457E1CDE">
        <w:tblPrEx>
          <w:tblCellMar>
            <w:top w:w="15" w:type="dxa"/>
            <w:left w:w="15" w:type="dxa"/>
            <w:bottom w:w="15" w:type="dxa"/>
            <w:right w:w="15" w:type="dxa"/>
          </w:tblCellMar>
        </w:tblPrEx>
        <w:trPr>
          <w:trHeight w:val="1996"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0E58E61B">
            <w:pPr>
              <w:widowControl/>
              <w:shd w:val="clear" w:color="auto" w:fill="auto"/>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项目名称</w:t>
            </w:r>
          </w:p>
        </w:tc>
        <w:tc>
          <w:tcPr>
            <w:tcW w:w="5549" w:type="dxa"/>
            <w:tcBorders>
              <w:top w:val="single" w:color="000000" w:sz="4" w:space="0"/>
              <w:left w:val="single" w:color="000000" w:sz="4" w:space="0"/>
              <w:bottom w:val="single" w:color="000000" w:sz="4" w:space="0"/>
              <w:right w:val="single" w:color="000000" w:sz="4" w:space="0"/>
            </w:tcBorders>
            <w:vAlign w:val="center"/>
          </w:tcPr>
          <w:p w14:paraId="6E9ECAC8">
            <w:pPr>
              <w:pStyle w:val="2"/>
              <w:ind w:left="0" w:leftChars="0" w:firstLine="0" w:firstLineChars="0"/>
              <w:jc w:val="center"/>
              <w:rPr>
                <w:rFonts w:hint="default"/>
                <w:lang w:val="en-US" w:eastAsia="zh-CN"/>
              </w:rPr>
            </w:pPr>
            <w:r>
              <w:rPr>
                <w:rFonts w:hint="eastAsia" w:ascii="仿宋_GB2312" w:hAnsi="宋体" w:eastAsia="仿宋_GB2312" w:cs="仿宋_GB2312"/>
                <w:b w:val="0"/>
                <w:bCs/>
                <w:color w:val="000000"/>
                <w:kern w:val="2"/>
                <w:sz w:val="32"/>
                <w:szCs w:val="32"/>
                <w:lang w:val="en-US" w:eastAsia="zh-CN" w:bidi="ar-SA"/>
              </w:rPr>
              <w:t>许昌市胖东来天使城生活服务圈公共停车及配套设施提升工程全过程造价咨询</w:t>
            </w:r>
          </w:p>
        </w:tc>
      </w:tr>
      <w:tr w14:paraId="36517319">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right w:val="single" w:color="000000" w:sz="4" w:space="0"/>
            </w:tcBorders>
            <w:vAlign w:val="center"/>
          </w:tcPr>
          <w:p w14:paraId="21A08B72">
            <w:pPr>
              <w:widowControl/>
              <w:shd w:val="clear" w:color="auto" w:fill="auto"/>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申请人</w:t>
            </w:r>
          </w:p>
        </w:tc>
        <w:tc>
          <w:tcPr>
            <w:tcW w:w="5549" w:type="dxa"/>
            <w:tcBorders>
              <w:top w:val="single" w:color="000000" w:sz="4" w:space="0"/>
              <w:left w:val="single" w:color="000000" w:sz="4" w:space="0"/>
              <w:bottom w:val="single" w:color="000000" w:sz="4" w:space="0"/>
              <w:right w:val="single" w:color="000000" w:sz="4" w:space="0"/>
            </w:tcBorders>
            <w:vAlign w:val="center"/>
          </w:tcPr>
          <w:p w14:paraId="0512F687">
            <w:pPr>
              <w:widowControl/>
              <w:shd w:val="clear" w:color="auto" w:fill="auto"/>
              <w:spacing w:line="560" w:lineRule="exact"/>
              <w:jc w:val="center"/>
              <w:textAlignment w:val="center"/>
              <w:rPr>
                <w:rFonts w:hint="default" w:ascii="仿宋_GB2312" w:hAnsi="宋体" w:eastAsia="仿宋_GB2312" w:cs="仿宋_GB2312"/>
                <w:b/>
                <w:color w:val="000000"/>
                <w:sz w:val="32"/>
                <w:szCs w:val="32"/>
                <w:lang w:val="en-US" w:eastAsia="zh-CN"/>
              </w:rPr>
            </w:pPr>
            <w:r>
              <w:rPr>
                <w:rFonts w:hint="eastAsia" w:ascii="仿宋_GB2312" w:hAnsi="宋体" w:eastAsia="仿宋_GB2312" w:cs="仿宋_GB2312"/>
                <w:b w:val="0"/>
                <w:bCs/>
                <w:color w:val="000000"/>
                <w:sz w:val="32"/>
                <w:szCs w:val="32"/>
                <w:lang w:val="en-US" w:eastAsia="zh-CN"/>
              </w:rPr>
              <w:t>公司名称***</w:t>
            </w:r>
          </w:p>
        </w:tc>
      </w:tr>
      <w:tr w14:paraId="6428FAED">
        <w:tblPrEx>
          <w:tblCellMar>
            <w:top w:w="15" w:type="dxa"/>
            <w:left w:w="15" w:type="dxa"/>
            <w:bottom w:w="15" w:type="dxa"/>
            <w:right w:w="15" w:type="dxa"/>
          </w:tblCellMar>
        </w:tblPrEx>
        <w:trPr>
          <w:trHeight w:val="793"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40BE5DAA">
            <w:pPr>
              <w:widowControl/>
              <w:shd w:val="clear" w:color="auto" w:fill="auto"/>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申请人资质</w:t>
            </w:r>
          </w:p>
        </w:tc>
        <w:tc>
          <w:tcPr>
            <w:tcW w:w="5549" w:type="dxa"/>
            <w:tcBorders>
              <w:top w:val="single" w:color="000000" w:sz="4" w:space="0"/>
              <w:left w:val="single" w:color="000000" w:sz="4" w:space="0"/>
              <w:bottom w:val="single" w:color="000000" w:sz="4" w:space="0"/>
              <w:right w:val="single" w:color="000000" w:sz="4" w:space="0"/>
            </w:tcBorders>
            <w:vAlign w:val="center"/>
          </w:tcPr>
          <w:p w14:paraId="105FF001">
            <w:pPr>
              <w:widowControl/>
              <w:shd w:val="clear" w:color="auto" w:fill="auto"/>
              <w:spacing w:line="560" w:lineRule="exact"/>
              <w:jc w:val="center"/>
              <w:textAlignment w:val="center"/>
              <w:rPr>
                <w:rFonts w:ascii="仿宋_GB2312" w:hAnsi="宋体" w:eastAsia="仿宋_GB2312" w:cs="仿宋_GB2312"/>
                <w:b/>
                <w:color w:val="000000"/>
                <w:sz w:val="32"/>
                <w:szCs w:val="32"/>
              </w:rPr>
            </w:pPr>
          </w:p>
        </w:tc>
      </w:tr>
      <w:tr w14:paraId="43EBE471">
        <w:tblPrEx>
          <w:tblCellMar>
            <w:top w:w="15" w:type="dxa"/>
            <w:left w:w="15" w:type="dxa"/>
            <w:bottom w:w="15" w:type="dxa"/>
            <w:right w:w="15" w:type="dxa"/>
          </w:tblCellMar>
        </w:tblPrEx>
        <w:trPr>
          <w:trHeight w:val="909"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79C530EF">
            <w:pPr>
              <w:widowControl/>
              <w:shd w:val="clear" w:color="auto" w:fill="auto"/>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项目负责人（职务）</w:t>
            </w:r>
          </w:p>
        </w:tc>
        <w:tc>
          <w:tcPr>
            <w:tcW w:w="5549" w:type="dxa"/>
            <w:tcBorders>
              <w:top w:val="single" w:color="000000" w:sz="4" w:space="0"/>
              <w:left w:val="single" w:color="000000" w:sz="4" w:space="0"/>
              <w:bottom w:val="single" w:color="000000" w:sz="4" w:space="0"/>
              <w:right w:val="single" w:color="000000" w:sz="4" w:space="0"/>
            </w:tcBorders>
            <w:vAlign w:val="center"/>
          </w:tcPr>
          <w:p w14:paraId="15183B66">
            <w:pPr>
              <w:keepNext w:val="0"/>
              <w:keepLines w:val="0"/>
              <w:pageBreakBefore w:val="0"/>
              <w:widowControl/>
              <w:shd w:val="clear" w:color="auto" w:fill="auto"/>
              <w:kinsoku/>
              <w:wordWrap/>
              <w:overflowPunct/>
              <w:topLinePunct w:val="0"/>
              <w:autoSpaceDE/>
              <w:autoSpaceDN/>
              <w:bidi w:val="0"/>
              <w:adjustRightInd/>
              <w:snapToGrid/>
              <w:spacing w:line="480" w:lineRule="exact"/>
              <w:jc w:val="center"/>
              <w:textAlignment w:val="center"/>
              <w:rPr>
                <w:rFonts w:ascii="仿宋_GB2312" w:hAnsi="宋体" w:eastAsia="仿宋_GB2312" w:cs="仿宋_GB2312"/>
                <w:b/>
                <w:color w:val="000000"/>
                <w:sz w:val="32"/>
                <w:szCs w:val="32"/>
              </w:rPr>
            </w:pPr>
          </w:p>
        </w:tc>
      </w:tr>
      <w:tr w14:paraId="2E597FAB">
        <w:tblPrEx>
          <w:tblCellMar>
            <w:top w:w="15" w:type="dxa"/>
            <w:left w:w="15" w:type="dxa"/>
            <w:bottom w:w="15" w:type="dxa"/>
            <w:right w:w="15" w:type="dxa"/>
          </w:tblCellMar>
        </w:tblPrEx>
        <w:trPr>
          <w:trHeight w:val="3069"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64661DE8">
            <w:pPr>
              <w:widowControl/>
              <w:shd w:val="clear" w:color="auto" w:fill="auto"/>
              <w:spacing w:line="560" w:lineRule="exact"/>
              <w:jc w:val="center"/>
              <w:textAlignment w:val="center"/>
              <w:rPr>
                <w:rFonts w:hint="eastAsia" w:ascii="仿宋_GB2312" w:hAnsi="宋体" w:eastAsia="仿宋_GB2312" w:cs="仿宋_GB2312"/>
                <w:b/>
                <w:color w:val="000000"/>
                <w:kern w:val="0"/>
                <w:sz w:val="32"/>
                <w:szCs w:val="32"/>
                <w:lang w:val="en-US" w:eastAsia="zh-CN" w:bidi="ar"/>
              </w:rPr>
            </w:pPr>
            <w:r>
              <w:rPr>
                <w:rFonts w:hint="eastAsia" w:ascii="仿宋_GB2312" w:hAnsi="宋体" w:eastAsia="仿宋_GB2312" w:cs="仿宋_GB2312"/>
                <w:b/>
                <w:color w:val="000000"/>
                <w:kern w:val="0"/>
                <w:sz w:val="32"/>
                <w:szCs w:val="32"/>
                <w:lang w:val="en-US" w:eastAsia="zh-CN" w:bidi="ar"/>
              </w:rPr>
              <w:t>项目工作内容</w:t>
            </w:r>
          </w:p>
        </w:tc>
        <w:tc>
          <w:tcPr>
            <w:tcW w:w="5549" w:type="dxa"/>
            <w:tcBorders>
              <w:top w:val="single" w:color="000000" w:sz="4" w:space="0"/>
              <w:left w:val="single" w:color="000000" w:sz="4" w:space="0"/>
              <w:bottom w:val="single" w:color="000000" w:sz="4" w:space="0"/>
              <w:right w:val="single" w:color="000000" w:sz="4" w:space="0"/>
            </w:tcBorders>
            <w:vAlign w:val="center"/>
          </w:tcPr>
          <w:p w14:paraId="5AE4D20D">
            <w:pPr>
              <w:widowControl/>
              <w:shd w:val="clear" w:color="auto" w:fill="auto"/>
              <w:spacing w:line="560" w:lineRule="exact"/>
              <w:jc w:val="center"/>
              <w:textAlignment w:val="center"/>
              <w:rPr>
                <w:rFonts w:hint="default" w:ascii="仿宋_GB2312" w:hAnsi="宋体" w:cs="仿宋_GB2312" w:eastAsiaTheme="minorEastAsia"/>
                <w:b/>
                <w:color w:val="000000"/>
                <w:kern w:val="0"/>
                <w:sz w:val="32"/>
                <w:szCs w:val="32"/>
                <w:lang w:val="en-US" w:eastAsia="zh-CN" w:bidi="ar"/>
              </w:rPr>
            </w:pPr>
          </w:p>
        </w:tc>
      </w:tr>
      <w:tr w14:paraId="0B78E697">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64555AB3">
            <w:pPr>
              <w:widowControl/>
              <w:shd w:val="clear" w:color="auto" w:fill="auto"/>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报价</w:t>
            </w:r>
          </w:p>
        </w:tc>
        <w:tc>
          <w:tcPr>
            <w:tcW w:w="5549" w:type="dxa"/>
            <w:tcBorders>
              <w:top w:val="single" w:color="000000" w:sz="4" w:space="0"/>
              <w:left w:val="single" w:color="000000" w:sz="4" w:space="0"/>
              <w:bottom w:val="single" w:color="000000" w:sz="4" w:space="0"/>
              <w:right w:val="single" w:color="000000" w:sz="4" w:space="0"/>
            </w:tcBorders>
            <w:vAlign w:val="center"/>
          </w:tcPr>
          <w:p w14:paraId="0DAD5C97">
            <w:pPr>
              <w:widowControl/>
              <w:shd w:val="clear" w:color="auto" w:fill="auto"/>
              <w:spacing w:line="560" w:lineRule="exact"/>
              <w:jc w:val="center"/>
              <w:textAlignment w:val="center"/>
              <w:rPr>
                <w:rFonts w:hint="eastAsia" w:ascii="仿宋_GB2312" w:hAnsi="宋体" w:eastAsia="Noto Sans SC" w:cs="仿宋_GB2312"/>
                <w:b/>
                <w:color w:val="000000"/>
                <w:kern w:val="0"/>
                <w:sz w:val="32"/>
                <w:szCs w:val="32"/>
                <w:lang w:val="en-US" w:eastAsia="zh-CN" w:bidi="ar"/>
              </w:rPr>
            </w:pPr>
            <w:r>
              <w:rPr>
                <w:rFonts w:hint="eastAsia" w:ascii="仿宋_GB2312" w:hAnsi="宋体" w:eastAsia="仿宋_GB2312" w:cs="仿宋_GB2312"/>
                <w:b w:val="0"/>
                <w:bCs/>
                <w:color w:val="000000"/>
                <w:sz w:val="32"/>
                <w:szCs w:val="32"/>
                <w:lang w:val="en-US" w:eastAsia="zh-CN"/>
              </w:rPr>
              <w:t>****</w:t>
            </w:r>
            <w:r>
              <w:rPr>
                <w:rFonts w:hint="eastAsia" w:ascii="仿宋_GB2312" w:hAnsi="宋体" w:eastAsia="仿宋_GB2312" w:cs="仿宋_GB2312"/>
                <w:b w:val="0"/>
                <w:bCs/>
                <w:color w:val="000000"/>
                <w:sz w:val="32"/>
                <w:szCs w:val="32"/>
                <w:highlight w:val="none"/>
                <w:lang w:val="en-US" w:eastAsia="zh-CN"/>
              </w:rPr>
              <w:t>‰</w:t>
            </w:r>
            <w:r>
              <w:rPr>
                <w:rFonts w:hint="eastAsia" w:ascii="仿宋_GB2312" w:hAnsi="宋体" w:eastAsia="仿宋_GB2312" w:cs="仿宋_GB2312"/>
                <w:b w:val="0"/>
                <w:bCs/>
                <w:color w:val="000000"/>
                <w:sz w:val="32"/>
                <w:szCs w:val="32"/>
                <w:lang w:val="en-US" w:eastAsia="zh-CN"/>
              </w:rPr>
              <w:t>（含税</w:t>
            </w:r>
            <w:r>
              <w:rPr>
                <w:rFonts w:hint="eastAsia" w:ascii="Noto Sans SC" w:hAnsi="Noto Sans SC" w:eastAsia="Noto Sans SC" w:cs="Noto Sans SC"/>
                <w:i w:val="0"/>
                <w:iCs w:val="0"/>
                <w:caps w:val="0"/>
                <w:color w:val="000000"/>
                <w:spacing w:val="0"/>
                <w:sz w:val="27"/>
                <w:szCs w:val="27"/>
                <w:lang w:eastAsia="zh-CN"/>
              </w:rPr>
              <w:t>）</w:t>
            </w:r>
          </w:p>
        </w:tc>
      </w:tr>
    </w:tbl>
    <w:p w14:paraId="4D598A37">
      <w:pPr>
        <w:shd w:val="clear" w:color="auto" w:fill="auto"/>
        <w:adjustRightInd w:val="0"/>
        <w:spacing w:line="560" w:lineRule="exact"/>
        <w:ind w:firstLine="640" w:firstLineChars="200"/>
        <w:jc w:val="right"/>
        <w:rPr>
          <w:rFonts w:hint="eastAsia" w:ascii="仿宋_GB2312" w:hAnsi="仿宋_GB2312" w:eastAsia="仿宋_GB2312" w:cs="仿宋_GB2312"/>
          <w:sz w:val="32"/>
          <w:szCs w:val="32"/>
          <w:highlight w:val="none"/>
          <w:lang w:val="en-US" w:eastAsia="zh-CN"/>
        </w:rPr>
      </w:pPr>
    </w:p>
    <w:p w14:paraId="2BF41D22">
      <w:pPr>
        <w:shd w:val="clear" w:color="auto" w:fill="auto"/>
        <w:adjustRightInd w:val="0"/>
        <w:spacing w:line="560" w:lineRule="exact"/>
        <w:ind w:firstLine="640" w:firstLineChars="200"/>
        <w:jc w:val="right"/>
        <w:rPr>
          <w:rFonts w:hint="eastAsia" w:ascii="仿宋_GB2312" w:hAnsi="仿宋_GB2312" w:eastAsia="仿宋_GB2312" w:cs="仿宋_GB2312"/>
          <w:sz w:val="32"/>
          <w:szCs w:val="32"/>
          <w:highlight w:val="none"/>
          <w:lang w:val="en-US" w:eastAsia="zh-CN"/>
        </w:rPr>
      </w:pPr>
    </w:p>
    <w:p w14:paraId="2E354F31">
      <w:pPr>
        <w:pStyle w:val="3"/>
        <w:ind w:firstLine="5461" w:firstLineChars="17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年    月    日</w:t>
      </w:r>
    </w:p>
    <w:p w14:paraId="4BB39FB0">
      <w:pPr>
        <w:rPr>
          <w:rFonts w:hint="eastAsia" w:ascii="仿宋_GB2312" w:hAnsi="仿宋_GB2312" w:eastAsia="仿宋_GB2312" w:cs="仿宋_GB2312"/>
          <w:sz w:val="32"/>
          <w:szCs w:val="32"/>
          <w:highlight w:val="none"/>
          <w:lang w:val="en-US" w:eastAsia="zh-CN"/>
        </w:rPr>
      </w:pPr>
    </w:p>
    <w:p w14:paraId="3320CA9B">
      <w:pP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附件2</w:t>
      </w:r>
    </w:p>
    <w:p w14:paraId="7A9503B9">
      <w:pPr>
        <w:pStyle w:val="8"/>
        <w:spacing w:line="240" w:lineRule="auto"/>
        <w:ind w:firstLine="0" w:firstLineChars="0"/>
        <w:contextualSpacing/>
        <w:jc w:val="center"/>
        <w:rPr>
          <w:rFonts w:hint="eastAsia" w:ascii="方正小标宋简体" w:hAnsi="方正小标宋简体" w:eastAsia="方正小标宋简体" w:cs="方正小标宋简体"/>
          <w:b w:val="0"/>
          <w:bCs/>
          <w:sz w:val="44"/>
          <w:szCs w:val="44"/>
          <w:lang w:val="zh-CN"/>
        </w:rPr>
      </w:pPr>
      <w:r>
        <w:rPr>
          <w:rFonts w:hint="eastAsia" w:ascii="方正小标宋简体" w:hAnsi="方正小标宋简体" w:eastAsia="方正小标宋简体" w:cs="方正小标宋简体"/>
          <w:b w:val="0"/>
          <w:bCs/>
          <w:sz w:val="44"/>
          <w:szCs w:val="44"/>
          <w:lang w:val="zh-CN"/>
        </w:rPr>
        <w:t>评标标准</w:t>
      </w:r>
    </w:p>
    <w:p w14:paraId="58D3BA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一、资格审查</w:t>
      </w:r>
    </w:p>
    <w:p w14:paraId="6E51AC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zh-CN" w:eastAsia="zh-CN"/>
        </w:rPr>
      </w:pPr>
      <w:r>
        <w:rPr>
          <w:rFonts w:hint="eastAsia" w:ascii="仿宋_GB2312" w:hAnsi="仿宋_GB2312" w:eastAsia="仿宋_GB2312" w:cs="仿宋_GB2312"/>
          <w:sz w:val="32"/>
          <w:szCs w:val="32"/>
          <w:lang w:eastAsia="zh-CN"/>
        </w:rPr>
        <w:t>评审小组对</w:t>
      </w:r>
      <w:r>
        <w:rPr>
          <w:rFonts w:hint="eastAsia" w:ascii="仿宋_GB2312" w:hAnsi="仿宋_GB2312" w:eastAsia="仿宋_GB2312" w:cs="仿宋_GB2312"/>
          <w:sz w:val="32"/>
          <w:szCs w:val="32"/>
          <w:lang w:val="en-US" w:eastAsia="zh-CN"/>
        </w:rPr>
        <w:t>申请</w:t>
      </w:r>
      <w:r>
        <w:rPr>
          <w:rFonts w:hint="eastAsia" w:ascii="仿宋_GB2312" w:hAnsi="仿宋_GB2312" w:eastAsia="仿宋_GB2312" w:cs="仿宋_GB2312"/>
          <w:sz w:val="32"/>
          <w:szCs w:val="32"/>
          <w:lang w:eastAsia="zh-CN"/>
        </w:rPr>
        <w:t>人资格进行检查。</w:t>
      </w:r>
      <w:r>
        <w:rPr>
          <w:rFonts w:hint="eastAsia" w:ascii="仿宋_GB2312" w:hAnsi="仿宋_GB2312" w:eastAsia="仿宋_GB2312" w:cs="仿宋_GB2312"/>
          <w:sz w:val="32"/>
          <w:szCs w:val="32"/>
          <w:lang w:val="zh-CN" w:eastAsia="zh-CN"/>
        </w:rPr>
        <w:t>确定符合资格的</w:t>
      </w:r>
      <w:r>
        <w:rPr>
          <w:rFonts w:hint="eastAsia" w:ascii="仿宋_GB2312" w:hAnsi="仿宋_GB2312" w:eastAsia="仿宋_GB2312" w:cs="仿宋_GB2312"/>
          <w:sz w:val="32"/>
          <w:szCs w:val="32"/>
          <w:lang w:val="en-US" w:eastAsia="zh-CN"/>
        </w:rPr>
        <w:t>申请</w:t>
      </w:r>
      <w:r>
        <w:rPr>
          <w:rFonts w:hint="eastAsia" w:ascii="仿宋_GB2312" w:hAnsi="仿宋_GB2312" w:eastAsia="仿宋_GB2312" w:cs="仿宋_GB2312"/>
          <w:sz w:val="32"/>
          <w:szCs w:val="32"/>
          <w:lang w:val="zh-CN" w:eastAsia="zh-CN"/>
        </w:rPr>
        <w:t>人不少于3</w:t>
      </w:r>
      <w:r>
        <w:rPr>
          <w:rFonts w:hint="eastAsia" w:ascii="仿宋_GB2312" w:hAnsi="仿宋_GB2312" w:eastAsia="仿宋_GB2312" w:cs="仿宋_GB2312"/>
          <w:color w:val="auto"/>
          <w:sz w:val="32"/>
          <w:szCs w:val="32"/>
          <w:lang w:val="zh-CN" w:eastAsia="zh-CN"/>
        </w:rPr>
        <w:t>家后对投标文件进行符合性审查，</w:t>
      </w:r>
      <w:r>
        <w:rPr>
          <w:rFonts w:hint="eastAsia" w:ascii="仿宋_GB2312" w:hAnsi="仿宋_GB2312" w:eastAsia="仿宋_GB2312" w:cs="仿宋_GB2312"/>
          <w:color w:val="auto"/>
          <w:sz w:val="32"/>
          <w:szCs w:val="32"/>
          <w:lang w:val="en-US" w:eastAsia="zh-CN"/>
        </w:rPr>
        <w:t>少于三家则本次评标过程无效</w:t>
      </w:r>
      <w:r>
        <w:rPr>
          <w:rFonts w:hint="eastAsia" w:ascii="仿宋_GB2312" w:hAnsi="仿宋_GB2312" w:eastAsia="仿宋_GB2312" w:cs="仿宋_GB2312"/>
          <w:color w:val="auto"/>
          <w:sz w:val="32"/>
          <w:szCs w:val="32"/>
          <w:lang w:val="zh-CN" w:eastAsia="zh-CN"/>
        </w:rPr>
        <w:t>。</w:t>
      </w:r>
    </w:p>
    <w:p w14:paraId="53B68A8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二、评审</w:t>
      </w:r>
    </w:p>
    <w:p w14:paraId="182280B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（一）评审方法</w:t>
      </w:r>
    </w:p>
    <w:p w14:paraId="57B697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zh-CN" w:eastAsia="zh-CN"/>
        </w:rPr>
        <w:t>本项目采用综合评分法。总分为 100 分。</w:t>
      </w:r>
    </w:p>
    <w:p w14:paraId="6C347CC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（二）评分办法</w:t>
      </w:r>
    </w:p>
    <w:tbl>
      <w:tblPr>
        <w:tblStyle w:val="13"/>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6786"/>
      </w:tblGrid>
      <w:tr w14:paraId="03742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13" w:type="dxa"/>
            <w:vAlign w:val="center"/>
          </w:tcPr>
          <w:p w14:paraId="732F41CE">
            <w:pPr>
              <w:tabs>
                <w:tab w:val="left" w:pos="1260"/>
              </w:tabs>
              <w:autoSpaceDE w:val="0"/>
              <w:autoSpaceDN w:val="0"/>
              <w:adjustRightInd w:val="0"/>
              <w:snapToGrid w:val="0"/>
              <w:spacing w:line="276" w:lineRule="auto"/>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分值构成</w:t>
            </w:r>
          </w:p>
          <w:p w14:paraId="79E9DAF2">
            <w:pPr>
              <w:tabs>
                <w:tab w:val="left" w:pos="1260"/>
              </w:tabs>
              <w:autoSpaceDE w:val="0"/>
              <w:autoSpaceDN w:val="0"/>
              <w:adjustRightInd w:val="0"/>
              <w:snapToGrid w:val="0"/>
              <w:spacing w:line="276" w:lineRule="auto"/>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(总分100分)</w:t>
            </w:r>
          </w:p>
        </w:tc>
        <w:tc>
          <w:tcPr>
            <w:tcW w:w="6786" w:type="dxa"/>
            <w:vAlign w:val="center"/>
          </w:tcPr>
          <w:p w14:paraId="2D23B13E">
            <w:pPr>
              <w:widowControl/>
              <w:adjustRightInd w:val="0"/>
              <w:snapToGrid w:val="0"/>
              <w:spacing w:line="276" w:lineRule="auto"/>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企业报价：</w:t>
            </w:r>
            <w:r>
              <w:rPr>
                <w:rFonts w:hint="eastAsia" w:ascii="仿宋_GB2312" w:hAnsi="仿宋_GB2312" w:eastAsia="仿宋_GB2312" w:cs="仿宋_GB2312"/>
                <w:sz w:val="32"/>
                <w:szCs w:val="32"/>
                <w:lang w:val="en-US" w:eastAsia="zh-CN"/>
              </w:rPr>
              <w:t xml:space="preserve"> 30 </w:t>
            </w:r>
            <w:r>
              <w:rPr>
                <w:rFonts w:hint="eastAsia" w:ascii="仿宋_GB2312" w:hAnsi="仿宋_GB2312" w:eastAsia="仿宋_GB2312" w:cs="仿宋_GB2312"/>
                <w:sz w:val="32"/>
                <w:szCs w:val="32"/>
                <w:lang w:val="zh-CN"/>
              </w:rPr>
              <w:t>分</w:t>
            </w:r>
          </w:p>
          <w:p w14:paraId="7D595DAD">
            <w:pPr>
              <w:widowControl/>
              <w:adjustRightInd w:val="0"/>
              <w:snapToGrid w:val="0"/>
              <w:spacing w:line="276" w:lineRule="auto"/>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服务方案</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 xml:space="preserve"> 30</w:t>
            </w:r>
            <w:r>
              <w:rPr>
                <w:rFonts w:hint="eastAsia" w:ascii="仿宋_GB2312" w:hAnsi="仿宋_GB2312" w:eastAsia="仿宋_GB2312" w:cs="仿宋_GB2312"/>
                <w:sz w:val="32"/>
                <w:szCs w:val="32"/>
                <w:lang w:val="zh-CN" w:eastAsia="zh-CN"/>
              </w:rPr>
              <w:t xml:space="preserve"> 分</w:t>
            </w:r>
          </w:p>
          <w:p w14:paraId="0175615B">
            <w:pPr>
              <w:widowControl/>
              <w:adjustRightInd w:val="0"/>
              <w:snapToGrid w:val="0"/>
              <w:spacing w:line="276" w:lineRule="auto"/>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企业业绩</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en-US" w:eastAsia="zh-CN"/>
              </w:rPr>
              <w:t xml:space="preserve"> 20 </w:t>
            </w:r>
            <w:r>
              <w:rPr>
                <w:rFonts w:hint="eastAsia" w:ascii="仿宋_GB2312" w:hAnsi="仿宋_GB2312" w:eastAsia="仿宋_GB2312" w:cs="仿宋_GB2312"/>
                <w:sz w:val="32"/>
                <w:szCs w:val="32"/>
                <w:lang w:val="zh-CN" w:eastAsia="zh-CN"/>
              </w:rPr>
              <w:t>分</w:t>
            </w:r>
          </w:p>
          <w:p w14:paraId="79F5BE01">
            <w:pPr>
              <w:widowControl/>
              <w:adjustRightInd w:val="0"/>
              <w:snapToGrid w:val="0"/>
              <w:spacing w:line="276" w:lineRule="auto"/>
              <w:jc w:val="left"/>
              <w:rPr>
                <w:rFonts w:hint="eastAsia"/>
                <w:lang w:val="en-US"/>
              </w:rPr>
            </w:pPr>
            <w:r>
              <w:rPr>
                <w:rFonts w:hint="eastAsia" w:ascii="仿宋_GB2312" w:hAnsi="仿宋_GB2312" w:eastAsia="仿宋_GB2312" w:cs="仿宋_GB2312"/>
                <w:sz w:val="32"/>
                <w:szCs w:val="32"/>
                <w:lang w:val="en-US" w:eastAsia="zh-CN"/>
              </w:rPr>
              <w:t>管理机构： 20 分</w:t>
            </w:r>
          </w:p>
        </w:tc>
      </w:tr>
      <w:tr w14:paraId="2DF8C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913" w:type="dxa"/>
            <w:tcMar>
              <w:top w:w="0" w:type="dxa"/>
              <w:left w:w="0" w:type="dxa"/>
              <w:bottom w:w="0" w:type="dxa"/>
              <w:right w:w="0" w:type="dxa"/>
            </w:tcMar>
            <w:vAlign w:val="center"/>
          </w:tcPr>
          <w:p w14:paraId="6C6D7542">
            <w:pPr>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评审项</w:t>
            </w:r>
          </w:p>
        </w:tc>
        <w:tc>
          <w:tcPr>
            <w:tcW w:w="6786" w:type="dxa"/>
            <w:tcMar>
              <w:top w:w="0" w:type="dxa"/>
              <w:left w:w="0" w:type="dxa"/>
              <w:bottom w:w="0" w:type="dxa"/>
              <w:right w:w="0" w:type="dxa"/>
            </w:tcMar>
            <w:vAlign w:val="center"/>
          </w:tcPr>
          <w:p w14:paraId="4768D750">
            <w:pPr>
              <w:jc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评标标准</w:t>
            </w:r>
          </w:p>
        </w:tc>
      </w:tr>
      <w:tr w14:paraId="18EEC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913" w:type="dxa"/>
            <w:tcMar>
              <w:top w:w="0" w:type="dxa"/>
              <w:left w:w="0" w:type="dxa"/>
              <w:bottom w:w="0" w:type="dxa"/>
              <w:right w:w="0" w:type="dxa"/>
            </w:tcMar>
            <w:vAlign w:val="center"/>
          </w:tcPr>
          <w:p w14:paraId="04C91D18">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企业</w:t>
            </w:r>
            <w:r>
              <w:rPr>
                <w:rFonts w:hint="eastAsia" w:ascii="仿宋_GB2312" w:hAnsi="仿宋_GB2312" w:eastAsia="仿宋_GB2312" w:cs="仿宋_GB2312"/>
                <w:sz w:val="32"/>
                <w:szCs w:val="32"/>
              </w:rPr>
              <w:t>报价</w:t>
            </w:r>
          </w:p>
          <w:p w14:paraId="16BCE712">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分）</w:t>
            </w:r>
          </w:p>
        </w:tc>
        <w:tc>
          <w:tcPr>
            <w:tcW w:w="6786" w:type="dxa"/>
            <w:tcMar>
              <w:top w:w="0" w:type="dxa"/>
              <w:left w:w="0" w:type="dxa"/>
              <w:bottom w:w="0" w:type="dxa"/>
              <w:right w:w="0" w:type="dxa"/>
            </w:tcMar>
            <w:vAlign w:val="center"/>
          </w:tcPr>
          <w:p w14:paraId="6F26954E">
            <w:pPr>
              <w:widowControl/>
              <w:spacing w:line="440" w:lineRule="exact"/>
              <w:jc w:val="left"/>
              <w:textAlignment w:val="center"/>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1.投标报价高于控制价的为无效报价；</w:t>
            </w:r>
          </w:p>
          <w:p w14:paraId="471EFEB3">
            <w:pPr>
              <w:widowControl/>
              <w:adjustRightInd w:val="0"/>
              <w:snapToGrid w:val="0"/>
              <w:spacing w:line="276"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highlight w:val="none"/>
                <w:lang w:val="zh-CN" w:eastAsia="zh-CN"/>
              </w:rPr>
              <w:t>投标报价得分=（基准价/</w:t>
            </w:r>
            <w:r>
              <w:rPr>
                <w:rFonts w:hint="eastAsia" w:ascii="仿宋_GB2312" w:hAnsi="仿宋_GB2312" w:eastAsia="仿宋_GB2312" w:cs="仿宋_GB2312"/>
                <w:sz w:val="32"/>
                <w:szCs w:val="32"/>
                <w:highlight w:val="none"/>
                <w:lang w:val="en-US" w:eastAsia="zh-CN"/>
              </w:rPr>
              <w:t>企业</w:t>
            </w:r>
            <w:r>
              <w:rPr>
                <w:rFonts w:hint="eastAsia" w:ascii="仿宋_GB2312" w:hAnsi="仿宋_GB2312" w:eastAsia="仿宋_GB2312" w:cs="仿宋_GB2312"/>
                <w:sz w:val="32"/>
                <w:szCs w:val="32"/>
                <w:highlight w:val="none"/>
                <w:lang w:val="zh-CN" w:eastAsia="zh-CN"/>
              </w:rPr>
              <w:t>报价）×</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lang w:val="zh-CN" w:eastAsia="zh-CN"/>
              </w:rPr>
              <w:t>分。满足招标文件要求的</w:t>
            </w:r>
            <w:r>
              <w:rPr>
                <w:rFonts w:hint="eastAsia" w:ascii="仿宋_GB2312" w:hAnsi="仿宋_GB2312" w:eastAsia="仿宋_GB2312" w:cs="仿宋_GB2312"/>
                <w:sz w:val="32"/>
                <w:szCs w:val="32"/>
                <w:highlight w:val="none"/>
                <w:lang w:val="en-US" w:eastAsia="zh-CN"/>
              </w:rPr>
              <w:t>所</w:t>
            </w:r>
            <w:r>
              <w:rPr>
                <w:rFonts w:hint="eastAsia" w:ascii="仿宋_GB2312" w:hAnsi="仿宋_GB2312" w:eastAsia="仿宋_GB2312" w:cs="仿宋_GB2312"/>
                <w:sz w:val="32"/>
                <w:szCs w:val="32"/>
                <w:highlight w:val="none"/>
                <w:lang w:val="zh-CN" w:eastAsia="zh-CN"/>
              </w:rPr>
              <w:t>有</w:t>
            </w:r>
            <w:r>
              <w:rPr>
                <w:rFonts w:hint="eastAsia" w:ascii="仿宋_GB2312" w:hAnsi="仿宋_GB2312" w:eastAsia="仿宋_GB2312" w:cs="仿宋_GB2312"/>
                <w:sz w:val="32"/>
                <w:szCs w:val="32"/>
                <w:highlight w:val="none"/>
                <w:lang w:val="en-US" w:eastAsia="zh-CN"/>
              </w:rPr>
              <w:t>有</w:t>
            </w:r>
            <w:r>
              <w:rPr>
                <w:rFonts w:hint="eastAsia" w:ascii="仿宋_GB2312" w:hAnsi="仿宋_GB2312" w:eastAsia="仿宋_GB2312" w:cs="仿宋_GB2312"/>
                <w:sz w:val="32"/>
                <w:szCs w:val="32"/>
                <w:highlight w:val="none"/>
                <w:lang w:val="zh-CN" w:eastAsia="zh-CN"/>
              </w:rPr>
              <w:t>效投标报价中，最低的投标报价为评标基准价</w:t>
            </w:r>
            <w:r>
              <w:rPr>
                <w:rFonts w:hint="eastAsia" w:ascii="仿宋_GB2312" w:hAnsi="仿宋_GB2312" w:eastAsia="仿宋_GB2312" w:cs="仿宋_GB2312"/>
                <w:sz w:val="32"/>
                <w:szCs w:val="32"/>
                <w:highlight w:val="none"/>
              </w:rPr>
              <w:t>。</w:t>
            </w:r>
          </w:p>
        </w:tc>
      </w:tr>
      <w:tr w14:paraId="1ED7D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3" w:hRule="atLeast"/>
          <w:jc w:val="center"/>
        </w:trPr>
        <w:tc>
          <w:tcPr>
            <w:tcW w:w="2913" w:type="dxa"/>
            <w:tcMar>
              <w:top w:w="0" w:type="dxa"/>
              <w:left w:w="0" w:type="dxa"/>
              <w:bottom w:w="0" w:type="dxa"/>
              <w:right w:w="0" w:type="dxa"/>
            </w:tcMar>
            <w:vAlign w:val="center"/>
          </w:tcPr>
          <w:p w14:paraId="59C5798B">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服务方案</w:t>
            </w:r>
          </w:p>
          <w:p w14:paraId="10CA2115">
            <w:pPr>
              <w:adjustRightInd w:val="0"/>
              <w:snapToGrid w:val="0"/>
              <w:spacing w:line="276"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（30分）</w:t>
            </w:r>
          </w:p>
        </w:tc>
        <w:tc>
          <w:tcPr>
            <w:tcW w:w="6786" w:type="dxa"/>
            <w:tcMar>
              <w:top w:w="0" w:type="dxa"/>
              <w:left w:w="0" w:type="dxa"/>
              <w:bottom w:w="0" w:type="dxa"/>
              <w:right w:w="0" w:type="dxa"/>
            </w:tcMar>
            <w:vAlign w:val="center"/>
          </w:tcPr>
          <w:p w14:paraId="670F6221">
            <w:pPr>
              <w:widowControl/>
              <w:numPr>
                <w:ilvl w:val="0"/>
                <w:numId w:val="0"/>
              </w:numPr>
              <w:adjustRightInd w:val="0"/>
              <w:snapToGrid w:val="0"/>
              <w:spacing w:line="276" w:lineRule="auto"/>
              <w:ind w:left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1.阐述造价咨询工作各阶段的工作内容、工作重点、工作方法和工作流程</w:t>
            </w:r>
            <w:r>
              <w:rPr>
                <w:rFonts w:hint="eastAsia" w:ascii="仿宋_GB2312" w:hAnsi="仿宋_GB2312" w:eastAsia="仿宋_GB2312" w:cs="仿宋_GB2312"/>
                <w:sz w:val="32"/>
                <w:szCs w:val="32"/>
                <w:highlight w:val="none"/>
                <w:lang w:val="zh-CN"/>
              </w:rPr>
              <w:t>（</w:t>
            </w:r>
            <w:r>
              <w:rPr>
                <w:rFonts w:hint="eastAsia" w:ascii="仿宋_GB2312" w:hAnsi="仿宋_GB2312" w:eastAsia="仿宋_GB2312" w:cs="仿宋_GB2312"/>
                <w:sz w:val="32"/>
                <w:szCs w:val="32"/>
                <w:highlight w:val="none"/>
                <w:lang w:val="en-US" w:eastAsia="zh-CN"/>
              </w:rPr>
              <w:t>①</w:t>
            </w:r>
            <w:r>
              <w:rPr>
                <w:rFonts w:hint="eastAsia" w:ascii="仿宋_GB2312" w:hAnsi="仿宋_GB2312" w:eastAsia="仿宋_GB2312" w:cs="仿宋_GB2312"/>
                <w:sz w:val="32"/>
                <w:szCs w:val="32"/>
                <w:highlight w:val="none"/>
                <w:lang w:val="zh-CN"/>
              </w:rPr>
              <w:t>对本项目理解深入、思路清晰、方案可行性强得</w:t>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sz w:val="32"/>
                <w:szCs w:val="32"/>
                <w:highlight w:val="none"/>
                <w:lang w:val="zh-CN"/>
              </w:rPr>
              <w:t>-</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lang w:val="zh-CN"/>
              </w:rPr>
              <w:t>分；</w:t>
            </w:r>
            <w:r>
              <w:rPr>
                <w:rFonts w:hint="eastAsia" w:ascii="仿宋_GB2312" w:hAnsi="仿宋_GB2312" w:eastAsia="仿宋_GB2312" w:cs="仿宋_GB2312"/>
                <w:sz w:val="32"/>
                <w:szCs w:val="32"/>
                <w:highlight w:val="none"/>
                <w:lang w:val="en-US" w:eastAsia="zh-CN"/>
              </w:rPr>
              <w:t>②</w:t>
            </w:r>
            <w:r>
              <w:rPr>
                <w:rFonts w:hint="eastAsia" w:ascii="仿宋_GB2312" w:hAnsi="仿宋_GB2312" w:eastAsia="仿宋_GB2312" w:cs="仿宋_GB2312"/>
                <w:sz w:val="32"/>
                <w:szCs w:val="32"/>
                <w:highlight w:val="none"/>
                <w:lang w:val="zh-CN"/>
              </w:rPr>
              <w:t>对本项目理解较为深入、思路较为清晰、方案基本可行得</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val="zh-CN"/>
              </w:rPr>
              <w:t>-</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lang w:val="zh-CN"/>
              </w:rPr>
              <w:t>分；</w:t>
            </w:r>
            <w:r>
              <w:rPr>
                <w:rFonts w:hint="eastAsia" w:ascii="仿宋_GB2312" w:hAnsi="仿宋_GB2312" w:eastAsia="仿宋_GB2312" w:cs="仿宋_GB2312"/>
                <w:sz w:val="32"/>
                <w:szCs w:val="32"/>
                <w:highlight w:val="none"/>
                <w:lang w:val="en-US" w:eastAsia="zh-CN"/>
              </w:rPr>
              <w:t>③</w:t>
            </w:r>
            <w:r>
              <w:rPr>
                <w:rFonts w:hint="eastAsia" w:ascii="仿宋_GB2312" w:hAnsi="仿宋_GB2312" w:eastAsia="仿宋_GB2312" w:cs="仿宋_GB2312"/>
                <w:sz w:val="32"/>
                <w:szCs w:val="32"/>
                <w:highlight w:val="none"/>
                <w:lang w:val="zh-CN"/>
              </w:rPr>
              <w:t>对本项目有一定的理解、思路一般、方案针对性和可操作性一般得</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val="zh-CN"/>
              </w:rPr>
              <w:t>-</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val="zh-CN"/>
              </w:rPr>
              <w:t>分；</w:t>
            </w:r>
            <w:r>
              <w:rPr>
                <w:rFonts w:hint="eastAsia" w:ascii="仿宋_GB2312" w:hAnsi="仿宋_GB2312" w:eastAsia="仿宋_GB2312" w:cs="仿宋_GB2312"/>
                <w:sz w:val="32"/>
                <w:szCs w:val="32"/>
                <w:highlight w:val="none"/>
                <w:lang w:val="en-US" w:eastAsia="zh-CN"/>
              </w:rPr>
              <w:t>④</w:t>
            </w:r>
            <w:r>
              <w:rPr>
                <w:rFonts w:hint="eastAsia" w:ascii="仿宋_GB2312" w:hAnsi="仿宋_GB2312" w:eastAsia="仿宋_GB2312" w:cs="仿宋_GB2312"/>
                <w:sz w:val="32"/>
                <w:szCs w:val="32"/>
                <w:highlight w:val="none"/>
                <w:lang w:val="zh-CN"/>
              </w:rPr>
              <w:t>没有不得分）</w:t>
            </w:r>
            <w:r>
              <w:rPr>
                <w:rFonts w:hint="eastAsia" w:ascii="仿宋_GB2312" w:hAnsi="仿宋_GB2312" w:eastAsia="仿宋_GB2312" w:cs="仿宋_GB2312"/>
                <w:sz w:val="32"/>
                <w:szCs w:val="32"/>
                <w:lang w:val="en-US" w:eastAsia="zh-CN"/>
              </w:rPr>
              <w:t>；</w:t>
            </w:r>
          </w:p>
          <w:p w14:paraId="30717740">
            <w:pPr>
              <w:widowControl/>
              <w:numPr>
                <w:ilvl w:val="0"/>
                <w:numId w:val="0"/>
              </w:numPr>
              <w:adjustRightInd w:val="0"/>
              <w:snapToGrid w:val="0"/>
              <w:spacing w:line="276" w:lineRule="auto"/>
              <w:ind w:left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highlight w:val="none"/>
                <w:lang w:val="zh-CN"/>
              </w:rPr>
              <w:t>阐述项目</w:t>
            </w:r>
            <w:r>
              <w:rPr>
                <w:rFonts w:hint="eastAsia" w:ascii="仿宋_GB2312" w:hAnsi="仿宋_GB2312" w:eastAsia="仿宋_GB2312" w:cs="仿宋_GB2312"/>
                <w:sz w:val="32"/>
                <w:szCs w:val="32"/>
                <w:highlight w:val="none"/>
                <w:lang w:val="en-US" w:eastAsia="zh-CN"/>
              </w:rPr>
              <w:t>造价咨询工作</w:t>
            </w:r>
            <w:r>
              <w:rPr>
                <w:rFonts w:hint="eastAsia" w:ascii="仿宋_GB2312" w:hAnsi="仿宋_GB2312" w:eastAsia="仿宋_GB2312" w:cs="仿宋_GB2312"/>
                <w:sz w:val="32"/>
                <w:szCs w:val="32"/>
                <w:highlight w:val="none"/>
                <w:lang w:val="zh-CN"/>
              </w:rPr>
              <w:t>的质量承诺及保证措施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highlight w:val="none"/>
                <w:lang w:val="en-US" w:eastAsia="zh-CN"/>
              </w:rPr>
              <w:t>①</w:t>
            </w:r>
            <w:r>
              <w:rPr>
                <w:rFonts w:hint="eastAsia" w:ascii="仿宋_GB2312" w:hAnsi="仿宋_GB2312" w:eastAsia="仿宋_GB2312" w:cs="仿宋_GB2312"/>
                <w:sz w:val="32"/>
                <w:szCs w:val="32"/>
                <w:highlight w:val="none"/>
                <w:lang w:val="zh-CN"/>
              </w:rPr>
              <w:t>质量管理体系完善、保证措施科学、合理得7-10分；</w:t>
            </w:r>
            <w:r>
              <w:rPr>
                <w:rFonts w:hint="eastAsia" w:ascii="仿宋_GB2312" w:hAnsi="仿宋_GB2312" w:eastAsia="仿宋_GB2312" w:cs="仿宋_GB2312"/>
                <w:sz w:val="32"/>
                <w:szCs w:val="32"/>
                <w:highlight w:val="none"/>
                <w:lang w:val="en-US" w:eastAsia="zh-CN"/>
              </w:rPr>
              <w:t>②</w:t>
            </w:r>
            <w:r>
              <w:rPr>
                <w:rFonts w:hint="eastAsia" w:ascii="仿宋_GB2312" w:hAnsi="仿宋_GB2312" w:eastAsia="仿宋_GB2312" w:cs="仿宋_GB2312"/>
                <w:sz w:val="32"/>
                <w:szCs w:val="32"/>
                <w:highlight w:val="none"/>
                <w:lang w:val="zh-CN"/>
              </w:rPr>
              <w:t>质量管理体系较完善、保证措施可行得4-6分；</w:t>
            </w:r>
            <w:r>
              <w:rPr>
                <w:rFonts w:hint="eastAsia" w:ascii="仿宋_GB2312" w:hAnsi="仿宋_GB2312" w:eastAsia="仿宋_GB2312" w:cs="仿宋_GB2312"/>
                <w:sz w:val="32"/>
                <w:szCs w:val="32"/>
                <w:highlight w:val="none"/>
                <w:lang w:val="en-US" w:eastAsia="zh-CN"/>
              </w:rPr>
              <w:t>③</w:t>
            </w:r>
            <w:r>
              <w:rPr>
                <w:rFonts w:hint="eastAsia" w:ascii="仿宋_GB2312" w:hAnsi="仿宋_GB2312" w:eastAsia="仿宋_GB2312" w:cs="仿宋_GB2312"/>
                <w:sz w:val="32"/>
                <w:szCs w:val="32"/>
                <w:highlight w:val="none"/>
                <w:lang w:val="zh-CN"/>
              </w:rPr>
              <w:t>质量管理体系简单、保证措施一般得1-3分，</w:t>
            </w:r>
            <w:r>
              <w:rPr>
                <w:rFonts w:hint="eastAsia" w:ascii="仿宋_GB2312" w:hAnsi="仿宋_GB2312" w:eastAsia="仿宋_GB2312" w:cs="仿宋_GB2312"/>
                <w:sz w:val="32"/>
                <w:szCs w:val="32"/>
                <w:highlight w:val="none"/>
                <w:lang w:val="en-US" w:eastAsia="zh-CN"/>
              </w:rPr>
              <w:t>④</w:t>
            </w:r>
            <w:r>
              <w:rPr>
                <w:rFonts w:hint="eastAsia" w:ascii="仿宋_GB2312" w:hAnsi="仿宋_GB2312" w:eastAsia="仿宋_GB2312" w:cs="仿宋_GB2312"/>
                <w:sz w:val="32"/>
                <w:szCs w:val="32"/>
                <w:highlight w:val="none"/>
                <w:lang w:val="zh-CN"/>
              </w:rPr>
              <w:t>没有不得分</w:t>
            </w:r>
            <w:r>
              <w:rPr>
                <w:rFonts w:hint="eastAsia" w:ascii="仿宋_GB2312" w:hAnsi="仿宋_GB2312" w:eastAsia="仿宋_GB2312" w:cs="仿宋_GB2312"/>
                <w:sz w:val="32"/>
                <w:szCs w:val="32"/>
                <w:lang w:val="en-US" w:eastAsia="zh-CN"/>
              </w:rPr>
              <w:t>）；</w:t>
            </w:r>
          </w:p>
          <w:p w14:paraId="7A6DD2EC">
            <w:pPr>
              <w:widowControl/>
              <w:numPr>
                <w:ilvl w:val="0"/>
                <w:numId w:val="0"/>
              </w:numPr>
              <w:adjustRightInd w:val="0"/>
              <w:snapToGrid w:val="0"/>
              <w:spacing w:line="276" w:lineRule="auto"/>
              <w:ind w:leftChars="0"/>
              <w:jc w:val="both"/>
              <w:rPr>
                <w:rFonts w:hint="eastAsia"/>
                <w:lang w:val="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highlight w:val="none"/>
                <w:lang w:val="zh-CN"/>
              </w:rPr>
              <w:t>服务周期保障方案（1-5分，没有不得分</w:t>
            </w:r>
            <w:r>
              <w:rPr>
                <w:rFonts w:hint="eastAsia" w:ascii="仿宋_GB2312" w:hAnsi="仿宋_GB2312" w:eastAsia="仿宋_GB2312" w:cs="仿宋_GB2312"/>
                <w:sz w:val="32"/>
                <w:szCs w:val="32"/>
                <w:lang w:val="en-US" w:eastAsia="zh-CN"/>
              </w:rPr>
              <w:t>）。</w:t>
            </w:r>
          </w:p>
        </w:tc>
      </w:tr>
      <w:tr w14:paraId="707B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jc w:val="center"/>
        </w:trPr>
        <w:tc>
          <w:tcPr>
            <w:tcW w:w="2913" w:type="dxa"/>
            <w:tcMar>
              <w:top w:w="0" w:type="dxa"/>
              <w:left w:w="0" w:type="dxa"/>
              <w:bottom w:w="0" w:type="dxa"/>
              <w:right w:w="0" w:type="dxa"/>
            </w:tcMar>
            <w:vAlign w:val="center"/>
          </w:tcPr>
          <w:p w14:paraId="6985805D">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企业业绩</w:t>
            </w:r>
          </w:p>
          <w:p w14:paraId="1569D280">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（20分）</w:t>
            </w:r>
          </w:p>
        </w:tc>
        <w:tc>
          <w:tcPr>
            <w:tcW w:w="6786" w:type="dxa"/>
            <w:tcMar>
              <w:top w:w="0" w:type="dxa"/>
              <w:left w:w="0" w:type="dxa"/>
              <w:bottom w:w="0" w:type="dxa"/>
              <w:right w:w="0" w:type="dxa"/>
            </w:tcMar>
            <w:vAlign w:val="center"/>
          </w:tcPr>
          <w:p w14:paraId="3F3CDCEA">
            <w:pPr>
              <w:keepNext w:val="0"/>
              <w:keepLines w:val="0"/>
              <w:pageBreakBefore w:val="0"/>
              <w:widowControl w:val="0"/>
              <w:numPr>
                <w:ilvl w:val="0"/>
                <w:numId w:val="0"/>
              </w:numPr>
              <w:kinsoku/>
              <w:wordWrap/>
              <w:overflowPunct/>
              <w:topLinePunct w:val="0"/>
              <w:autoSpaceDE/>
              <w:autoSpaceDN/>
              <w:bidi w:val="0"/>
              <w:adjustRightInd/>
              <w:snapToGrid/>
              <w:spacing w:line="470" w:lineRule="exact"/>
              <w:textAlignment w:val="auto"/>
              <w:rPr>
                <w:rFonts w:hint="default"/>
                <w:color w:val="auto"/>
                <w:lang w:val="en-US" w:eastAsia="zh-CN"/>
              </w:rPr>
            </w:pPr>
            <w:r>
              <w:rPr>
                <w:rFonts w:hint="eastAsia" w:ascii="仿宋_GB2312" w:hAnsi="仿宋_GB2312" w:eastAsia="仿宋_GB2312" w:cs="仿宋_GB2312"/>
                <w:sz w:val="32"/>
                <w:szCs w:val="32"/>
                <w:highlight w:val="none"/>
                <w:lang w:val="en-US" w:eastAsia="zh-CN"/>
              </w:rPr>
              <w:t>自</w:t>
            </w:r>
            <w:r>
              <w:rPr>
                <w:rFonts w:hint="default" w:ascii="仿宋_GB2312" w:hAnsi="仿宋_GB2312" w:eastAsia="仿宋_GB2312" w:cs="仿宋_GB2312"/>
                <w:sz w:val="32"/>
                <w:szCs w:val="32"/>
                <w:highlight w:val="none"/>
                <w:lang w:val="en-US" w:eastAsia="zh-CN"/>
              </w:rPr>
              <w:t>202</w:t>
            </w:r>
            <w:r>
              <w:rPr>
                <w:rFonts w:hint="eastAsia" w:ascii="仿宋_GB2312" w:hAnsi="仿宋_GB2312" w:eastAsia="仿宋_GB2312" w:cs="仿宋_GB2312"/>
                <w:sz w:val="32"/>
                <w:szCs w:val="32"/>
                <w:highlight w:val="none"/>
                <w:lang w:val="en-US" w:eastAsia="zh-CN"/>
              </w:rPr>
              <w:t>3</w:t>
            </w:r>
            <w:r>
              <w:rPr>
                <w:rFonts w:hint="default" w:ascii="仿宋_GB2312" w:hAnsi="仿宋_GB2312" w:eastAsia="仿宋_GB2312" w:cs="仿宋_GB2312"/>
                <w:sz w:val="32"/>
                <w:szCs w:val="32"/>
                <w:highlight w:val="none"/>
                <w:lang w:val="en-US" w:eastAsia="zh-CN"/>
              </w:rPr>
              <w:t>年1</w:t>
            </w:r>
            <w:r>
              <w:rPr>
                <w:rFonts w:hint="eastAsia" w:ascii="仿宋_GB2312" w:hAnsi="仿宋_GB2312" w:eastAsia="仿宋_GB2312" w:cs="仿宋_GB2312"/>
                <w:sz w:val="32"/>
                <w:szCs w:val="32"/>
                <w:highlight w:val="none"/>
                <w:lang w:val="en-US" w:eastAsia="zh-CN"/>
              </w:rPr>
              <w:t>月1日起，</w:t>
            </w:r>
            <w:r>
              <w:rPr>
                <w:rFonts w:hint="default" w:ascii="仿宋_GB2312" w:hAnsi="仿宋_GB2312" w:eastAsia="仿宋_GB2312" w:cs="仿宋_GB2312"/>
                <w:sz w:val="32"/>
                <w:szCs w:val="32"/>
                <w:highlight w:val="none"/>
                <w:lang w:val="en-US" w:eastAsia="zh-CN"/>
              </w:rPr>
              <w:t>承接过类似项目的</w:t>
            </w:r>
            <w:r>
              <w:rPr>
                <w:rFonts w:hint="eastAsia" w:ascii="仿宋_GB2312" w:hAnsi="仿宋_GB2312" w:eastAsia="仿宋_GB2312" w:cs="仿宋_GB2312"/>
                <w:sz w:val="32"/>
                <w:szCs w:val="32"/>
                <w:highlight w:val="none"/>
                <w:lang w:val="en-US" w:eastAsia="zh-CN"/>
              </w:rPr>
              <w:t>造价咨询</w:t>
            </w:r>
            <w:r>
              <w:rPr>
                <w:rFonts w:hint="default" w:ascii="仿宋_GB2312" w:hAnsi="仿宋_GB2312" w:eastAsia="仿宋_GB2312" w:cs="仿宋_GB2312"/>
                <w:sz w:val="32"/>
                <w:szCs w:val="32"/>
                <w:highlight w:val="none"/>
                <w:lang w:val="en-US" w:eastAsia="zh-CN"/>
              </w:rPr>
              <w:t>工作，每项得5分，本项最高得</w:t>
            </w:r>
            <w:r>
              <w:rPr>
                <w:rFonts w:hint="eastAsia" w:ascii="仿宋_GB2312" w:hAnsi="仿宋_GB2312" w:eastAsia="仿宋_GB2312" w:cs="仿宋_GB2312"/>
                <w:sz w:val="32"/>
                <w:szCs w:val="32"/>
                <w:highlight w:val="none"/>
                <w:lang w:val="en-US" w:eastAsia="zh-CN"/>
              </w:rPr>
              <w:t>20</w:t>
            </w:r>
            <w:r>
              <w:rPr>
                <w:rFonts w:hint="default" w:ascii="仿宋_GB2312" w:hAnsi="仿宋_GB2312" w:eastAsia="仿宋_GB2312" w:cs="仿宋_GB2312"/>
                <w:sz w:val="32"/>
                <w:szCs w:val="32"/>
                <w:highlight w:val="none"/>
                <w:lang w:val="en-US" w:eastAsia="zh-CN"/>
              </w:rPr>
              <w:t>分。（需提供网上中标结果公示</w:t>
            </w:r>
            <w:r>
              <w:rPr>
                <w:rFonts w:hint="eastAsia" w:ascii="仿宋_GB2312" w:hAnsi="仿宋_GB2312" w:eastAsia="仿宋_GB2312" w:cs="仿宋_GB2312"/>
                <w:sz w:val="32"/>
                <w:szCs w:val="32"/>
                <w:highlight w:val="none"/>
                <w:lang w:val="en-US" w:eastAsia="zh-CN"/>
              </w:rPr>
              <w:t>或</w:t>
            </w:r>
            <w:r>
              <w:rPr>
                <w:rFonts w:hint="default" w:ascii="仿宋_GB2312" w:hAnsi="仿宋_GB2312" w:eastAsia="仿宋_GB2312" w:cs="仿宋_GB2312"/>
                <w:sz w:val="32"/>
                <w:szCs w:val="32"/>
                <w:highlight w:val="none"/>
                <w:lang w:val="en-US" w:eastAsia="zh-CN"/>
              </w:rPr>
              <w:t>中标通知书、相关合同，申请文件中附复印件并加盖公章，时间以合同签订时间为准）。</w:t>
            </w:r>
          </w:p>
        </w:tc>
      </w:tr>
      <w:tr w14:paraId="515D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0" w:hRule="atLeast"/>
          <w:jc w:val="center"/>
        </w:trPr>
        <w:tc>
          <w:tcPr>
            <w:tcW w:w="2913" w:type="dxa"/>
            <w:tcMar>
              <w:top w:w="0" w:type="dxa"/>
              <w:left w:w="0" w:type="dxa"/>
              <w:bottom w:w="0" w:type="dxa"/>
              <w:right w:w="0" w:type="dxa"/>
            </w:tcMar>
            <w:vAlign w:val="center"/>
          </w:tcPr>
          <w:p w14:paraId="5EB34E17">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管理机构</w:t>
            </w:r>
          </w:p>
          <w:p w14:paraId="76F9C126">
            <w:pPr>
              <w:adjustRightInd w:val="0"/>
              <w:snapToGrid w:val="0"/>
              <w:spacing w:line="276" w:lineRule="auto"/>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（20分）</w:t>
            </w:r>
          </w:p>
        </w:tc>
        <w:tc>
          <w:tcPr>
            <w:tcW w:w="6786" w:type="dxa"/>
            <w:tcMar>
              <w:top w:w="0" w:type="dxa"/>
              <w:left w:w="0" w:type="dxa"/>
              <w:bottom w:w="0" w:type="dxa"/>
              <w:right w:w="0" w:type="dxa"/>
            </w:tcMar>
            <w:vAlign w:val="center"/>
          </w:tcPr>
          <w:p w14:paraId="61E72798">
            <w:pPr>
              <w:keepNext w:val="0"/>
              <w:keepLines w:val="0"/>
              <w:pageBreakBefore w:val="0"/>
              <w:widowControl w:val="0"/>
              <w:kinsoku/>
              <w:wordWrap/>
              <w:overflowPunct/>
              <w:topLinePunct w:val="0"/>
              <w:autoSpaceDE/>
              <w:autoSpaceDN/>
              <w:bidi w:val="0"/>
              <w:adjustRightInd/>
              <w:snapToGrid/>
              <w:spacing w:line="470" w:lineRule="exact"/>
              <w:ind w:left="0" w:leftChars="0" w:firstLine="0" w:firstLineChars="0"/>
              <w:jc w:val="left"/>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2"/>
                <w:sz w:val="32"/>
                <w:szCs w:val="32"/>
                <w:highlight w:val="none"/>
                <w:lang w:val="en-US" w:eastAsia="zh-CN" w:bidi="ar-SA"/>
              </w:rPr>
              <w:t>项目负责人具有国家一级注册造价工程师职业资格证书（土建或安装）及高级职称得10分，没有该证书不得分；除项目负责人外，其余人员具有国家一级注册造价工程师职业资格证书（土建或安装）的，每多1名得2分，此项最高得分10分，（以上人员均需提供聘用合同、半年内社保证明、证书等文件复印件）。</w:t>
            </w:r>
          </w:p>
        </w:tc>
      </w:tr>
    </w:tbl>
    <w:p w14:paraId="1C83A7F9">
      <w:pPr>
        <w:pStyle w:val="2"/>
        <w:ind w:left="0" w:leftChars="0" w:firstLine="0" w:firstLineChars="0"/>
        <w:rPr>
          <w:rFonts w:hint="eastAsia"/>
          <w:lang w:val="zh-CN" w:eastAsia="zh-CN"/>
        </w:rPr>
      </w:pPr>
    </w:p>
    <w:p w14:paraId="7280A3E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b/>
          <w:bCs/>
          <w:sz w:val="32"/>
          <w:szCs w:val="32"/>
          <w:lang w:val="zh-CN" w:eastAsia="zh-CN"/>
        </w:rPr>
      </w:pPr>
      <w:r>
        <w:rPr>
          <w:rFonts w:hint="eastAsia" w:ascii="仿宋_GB2312" w:hAnsi="仿宋_GB2312" w:eastAsia="仿宋_GB2312" w:cs="仿宋_GB2312"/>
          <w:b/>
          <w:bCs/>
          <w:sz w:val="32"/>
          <w:szCs w:val="32"/>
          <w:lang w:val="zh-CN" w:eastAsia="zh-CN"/>
        </w:rPr>
        <w:t>（</w:t>
      </w: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b/>
          <w:bCs/>
          <w:sz w:val="32"/>
          <w:szCs w:val="32"/>
          <w:lang w:val="zh-CN" w:eastAsia="zh-CN"/>
        </w:rPr>
        <w:t>）推荐</w:t>
      </w:r>
      <w:r>
        <w:rPr>
          <w:rFonts w:hint="eastAsia" w:ascii="仿宋_GB2312" w:hAnsi="仿宋_GB2312" w:eastAsia="仿宋_GB2312" w:cs="仿宋_GB2312"/>
          <w:b/>
          <w:bCs/>
          <w:sz w:val="32"/>
          <w:szCs w:val="32"/>
          <w:lang w:val="en-US" w:eastAsia="zh-CN"/>
        </w:rPr>
        <w:t>中标</w:t>
      </w:r>
      <w:r>
        <w:rPr>
          <w:rFonts w:hint="eastAsia" w:ascii="仿宋_GB2312" w:hAnsi="仿宋_GB2312" w:eastAsia="仿宋_GB2312" w:cs="仿宋_GB2312"/>
          <w:b/>
          <w:bCs/>
          <w:sz w:val="32"/>
          <w:szCs w:val="32"/>
          <w:lang w:val="zh-CN" w:eastAsia="zh-CN"/>
        </w:rPr>
        <w:t>候选人</w:t>
      </w:r>
    </w:p>
    <w:p w14:paraId="1D30660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_GB2312" w:hAnsi="仿宋_GB2312" w:eastAsia="仿宋_GB2312" w:cs="仿宋_GB2312"/>
          <w:sz w:val="32"/>
          <w:szCs w:val="32"/>
          <w:lang w:eastAsia="zh-CN"/>
        </w:rPr>
        <w:t>比选</w:t>
      </w:r>
      <w:r>
        <w:rPr>
          <w:rFonts w:hint="eastAsia" w:ascii="仿宋_GB2312" w:hAnsi="仿宋_GB2312" w:eastAsia="仿宋_GB2312" w:cs="仿宋_GB2312"/>
          <w:sz w:val="32"/>
          <w:szCs w:val="32"/>
        </w:rPr>
        <w:t>采用综合评分法，按照得分由高到低确定候选人</w:t>
      </w:r>
      <w:r>
        <w:rPr>
          <w:rFonts w:hint="eastAsia" w:ascii="仿宋" w:hAnsi="仿宋" w:eastAsia="仿宋" w:cs="仿宋"/>
          <w:sz w:val="32"/>
          <w:szCs w:val="32"/>
          <w:highlight w:val="none"/>
          <w:lang w:val="en-US" w:eastAsia="zh-CN"/>
        </w:rPr>
        <w:t>。</w:t>
      </w:r>
    </w:p>
    <w:p w14:paraId="2E8C915F">
      <w:pPr>
        <w:pStyle w:val="12"/>
        <w:spacing w:before="100" w:after="100"/>
        <w:ind w:left="0" w:leftChars="0" w:firstLine="0" w:firstLineChars="0"/>
        <w:rPr>
          <w:rFonts w:hint="default" w:eastAsia="仿宋_GB2312"/>
          <w:sz w:val="32"/>
          <w:szCs w:val="32"/>
          <w:lang w:eastAsia="zh-CN"/>
        </w:rPr>
      </w:pPr>
      <w:r>
        <w:rPr>
          <w:rFonts w:hint="eastAsia" w:ascii="仿宋" w:hAnsi="仿宋" w:eastAsia="仿宋" w:cs="仿宋"/>
          <w:sz w:val="32"/>
          <w:szCs w:val="32"/>
          <w:highlight w:val="none"/>
          <w:lang w:val="en-US" w:eastAsia="zh-CN"/>
        </w:rPr>
        <w:t>附件3：</w:t>
      </w:r>
    </w:p>
    <w:p w14:paraId="3FE68D1E">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廉洁</w:t>
      </w:r>
      <w:r>
        <w:rPr>
          <w:rFonts w:hint="eastAsia" w:ascii="方正小标宋简体" w:hAnsi="方正小标宋简体" w:eastAsia="方正小标宋简体" w:cs="方正小标宋简体"/>
          <w:sz w:val="44"/>
          <w:szCs w:val="44"/>
          <w:lang w:val="en-US" w:eastAsia="zh-CN"/>
        </w:rPr>
        <w:t>自</w:t>
      </w:r>
      <w:r>
        <w:rPr>
          <w:rFonts w:hint="eastAsia" w:ascii="方正小标宋简体" w:hAnsi="方正小标宋简体" w:eastAsia="方正小标宋简体" w:cs="方正小标宋简体"/>
          <w:sz w:val="44"/>
          <w:szCs w:val="44"/>
        </w:rPr>
        <w:t>律承诺书</w:t>
      </w:r>
    </w:p>
    <w:p w14:paraId="0C59F5DD">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rPr>
      </w:pPr>
    </w:p>
    <w:p w14:paraId="6477B238">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致:</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公司</w:t>
      </w:r>
    </w:p>
    <w:p w14:paraId="0295E6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为维护公平竞争的市场环境，确保经济活动的廉洁性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合法性和透明度，防止任何形式的不正当交易及腐败行为，</w:t>
      </w:r>
      <w:r>
        <w:rPr>
          <w:rFonts w:hint="eastAsia" w:ascii="仿宋_GB2312" w:hAnsi="仿宋_GB2312" w:eastAsia="仿宋_GB2312" w:cs="仿宋_GB2312"/>
          <w:color w:val="auto"/>
          <w:sz w:val="32"/>
          <w:szCs w:val="32"/>
          <w:lang w:val="en-US" w:eastAsia="zh-CN"/>
        </w:rPr>
        <w:t>我单位作为投标人，郑重</w:t>
      </w:r>
      <w:r>
        <w:rPr>
          <w:rFonts w:hint="eastAsia" w:ascii="仿宋_GB2312" w:hAnsi="仿宋_GB2312" w:eastAsia="仿宋_GB2312" w:cs="仿宋_GB2312"/>
          <w:color w:val="auto"/>
          <w:sz w:val="32"/>
          <w:szCs w:val="32"/>
        </w:rPr>
        <w:t>承诺</w:t>
      </w:r>
      <w:r>
        <w:rPr>
          <w:rFonts w:hint="eastAsia" w:ascii="仿宋_GB2312" w:hAnsi="仿宋_GB2312" w:eastAsia="仿宋_GB2312" w:cs="仿宋_GB2312"/>
          <w:color w:val="auto"/>
          <w:sz w:val="32"/>
          <w:szCs w:val="32"/>
          <w:lang w:val="en-US" w:eastAsia="zh-CN"/>
        </w:rPr>
        <w:t>如下</w:t>
      </w:r>
      <w:r>
        <w:rPr>
          <w:rFonts w:hint="eastAsia" w:ascii="仿宋_GB2312" w:hAnsi="仿宋_GB2312" w:eastAsia="仿宋_GB2312" w:cs="仿宋_GB2312"/>
          <w:color w:val="auto"/>
          <w:sz w:val="32"/>
          <w:szCs w:val="32"/>
        </w:rPr>
        <w:t>:</w:t>
      </w:r>
    </w:p>
    <w:p w14:paraId="7F63C4FF">
      <w:pPr>
        <w:pStyle w:val="17"/>
        <w:keepNext w:val="0"/>
        <w:keepLines w:val="0"/>
        <w:pageBreakBefore w:val="0"/>
        <w:widowControl/>
        <w:numPr>
          <w:ilvl w:val="0"/>
          <w:numId w:val="0"/>
        </w:numPr>
        <w:kinsoku/>
        <w:wordWrap/>
        <w:overflowPunct/>
        <w:topLinePunct w:val="0"/>
        <w:autoSpaceDE/>
        <w:autoSpaceDN/>
        <w:bidi w:val="0"/>
        <w:adjustRightInd w:val="0"/>
        <w:snapToGrid w:val="0"/>
        <w:spacing w:after="0" w:afterLines="0" w:line="560" w:lineRule="exact"/>
        <w:ind w:firstLine="640" w:firstLineChars="200"/>
        <w:jc w:val="both"/>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严格遵守国家及地方关于招投标、市场竞争的相关法律法规，不使用不正当手段妨碍、排挤相关投标单位或串通投标</w:t>
      </w:r>
      <w:r>
        <w:rPr>
          <w:rFonts w:hint="eastAsia" w:ascii="仿宋_GB2312" w:hAnsi="仿宋_GB2312" w:eastAsia="仿宋_GB2312" w:cs="仿宋_GB2312"/>
          <w:color w:val="auto"/>
          <w:sz w:val="32"/>
          <w:szCs w:val="32"/>
          <w:lang w:eastAsia="zh-CN"/>
        </w:rPr>
        <w:t>。</w:t>
      </w:r>
    </w:p>
    <w:p w14:paraId="3A82C910">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2.不以任何形式(包括但不限于现金、礼品、有价证券回扣、佣金、提供旅游、娱乐活动等)向招标人员、评标专家或其他</w:t>
      </w:r>
      <w:r>
        <w:rPr>
          <w:rFonts w:hint="eastAsia" w:ascii="仿宋_GB2312" w:hAnsi="仿宋_GB2312" w:eastAsia="仿宋_GB2312" w:cs="仿宋_GB2312"/>
          <w:color w:val="auto"/>
          <w:sz w:val="32"/>
          <w:szCs w:val="32"/>
          <w:lang w:val="en-US" w:eastAsia="zh-CN"/>
        </w:rPr>
        <w:t>利害关系方</w:t>
      </w:r>
      <w:r>
        <w:rPr>
          <w:rFonts w:hint="eastAsia" w:ascii="仿宋_GB2312" w:hAnsi="仿宋_GB2312" w:eastAsia="仿宋_GB2312" w:cs="仿宋_GB2312"/>
          <w:color w:val="auto"/>
          <w:sz w:val="32"/>
          <w:szCs w:val="32"/>
        </w:rPr>
        <w:t>进行贿赂或给予不正当利益。</w:t>
      </w:r>
    </w:p>
    <w:p w14:paraId="0038F46D">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3.不进行任何可能影响招标公平、公正的活动或尝试干预评标过程。</w:t>
      </w:r>
    </w:p>
    <w:p w14:paraId="0C5BDD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如违反上述承诺，我单位愿意接受包括但不限于取消投标资格、中标无效、列入不良行为记录名单等，给招标单位造成损失的，依法承担赔偿责任。</w:t>
      </w:r>
    </w:p>
    <w:p w14:paraId="5370EDF8">
      <w:pPr>
        <w:keepNext w:val="0"/>
        <w:keepLines w:val="0"/>
        <w:pageBreakBefore w:val="0"/>
        <w:kinsoku/>
        <w:wordWrap/>
        <w:overflowPunct/>
        <w:topLinePunct w:val="0"/>
        <w:autoSpaceDE/>
        <w:autoSpaceDN/>
        <w:bidi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特此承诺。</w:t>
      </w:r>
    </w:p>
    <w:p w14:paraId="466F5FC5">
      <w:pPr>
        <w:ind w:firstLine="6400" w:firstLineChars="2000"/>
        <w:rPr>
          <w:rFonts w:hint="eastAsia" w:ascii="仿宋_GB2312" w:hAnsi="仿宋_GB2312" w:eastAsia="仿宋_GB2312" w:cs="仿宋_GB2312"/>
          <w:sz w:val="32"/>
          <w:szCs w:val="32"/>
        </w:rPr>
      </w:pPr>
    </w:p>
    <w:p w14:paraId="53249F06">
      <w:pPr>
        <w:ind w:firstLine="4160" w:firstLineChars="1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单位名称(盖章)</w:t>
      </w:r>
    </w:p>
    <w:p w14:paraId="322375C1">
      <w:pPr>
        <w:ind w:firstLine="4160" w:firstLineChars="13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日期:</w:t>
      </w:r>
    </w:p>
    <w:p w14:paraId="624CC397"/>
    <w:p w14:paraId="5F06B044">
      <w:pPr>
        <w:pStyle w:val="12"/>
        <w:spacing w:before="100" w:after="100"/>
        <w:ind w:left="0" w:leftChars="0" w:firstLine="0" w:firstLineChars="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附件4：</w:t>
      </w:r>
    </w:p>
    <w:p w14:paraId="286F2993">
      <w:pPr>
        <w:pStyle w:val="2"/>
        <w:ind w:left="0" w:leftChars="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合同费用支付主要条款</w:t>
      </w:r>
    </w:p>
    <w:p w14:paraId="798F5655">
      <w:pPr>
        <w:pStyle w:val="2"/>
        <w:ind w:left="0" w:leftChars="0" w:firstLine="0" w:firstLineChars="0"/>
        <w:jc w:val="center"/>
        <w:rPr>
          <w:rFonts w:hint="eastAsia" w:ascii="方正小标宋简体" w:hAnsi="方正小标宋简体" w:eastAsia="方正小标宋简体" w:cs="方正小标宋简体"/>
          <w:sz w:val="44"/>
          <w:szCs w:val="44"/>
          <w:lang w:val="en-US" w:eastAsia="zh-CN"/>
        </w:rPr>
      </w:pPr>
    </w:p>
    <w:p w14:paraId="2B0402C3">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default"/>
          <w:lang w:val="en-US" w:eastAsia="zh-CN"/>
        </w:rPr>
      </w:pPr>
      <w:r>
        <w:rPr>
          <w:rFonts w:hint="eastAsia" w:ascii="Times New Roman" w:hAnsi="Times New Roman" w:eastAsia="仿宋_GB2312" w:cs="Times New Roman"/>
          <w:color w:val="auto"/>
          <w:sz w:val="32"/>
          <w:szCs w:val="32"/>
          <w:highlight w:val="none"/>
          <w:lang w:val="en-US" w:eastAsia="zh-CN"/>
        </w:rPr>
        <w:t>支付方式为施工过程中根据工程形象进度按月计量，支付比例为80%，待工程竣工验收合格后支付至90%，工程结算资料汇总完成，上报竣工结算财评后支付至97%，最终结算财评完成后30日内，按最终咨询费用付清余款，每次付款前需向发包人提供符合</w:t>
      </w:r>
      <w:r>
        <w:rPr>
          <w:rFonts w:hint="default" w:ascii="Times New Roman" w:hAnsi="Times New Roman" w:eastAsia="仿宋_GB2312" w:cs="Times New Roman"/>
          <w:sz w:val="32"/>
          <w:szCs w:val="32"/>
          <w:lang w:val="en-US" w:eastAsia="zh-CN"/>
        </w:rPr>
        <w:t>财务要求</w:t>
      </w:r>
      <w:r>
        <w:rPr>
          <w:rFonts w:hint="eastAsia" w:ascii="Times New Roman" w:hAnsi="Times New Roman" w:eastAsia="仿宋_GB2312" w:cs="Times New Roman"/>
          <w:color w:val="auto"/>
          <w:sz w:val="32"/>
          <w:szCs w:val="32"/>
          <w:highlight w:val="none"/>
          <w:lang w:val="en-US" w:eastAsia="zh-CN"/>
        </w:rPr>
        <w:t>的增值税专用发票，否则发包人有权拒绝付款且不承担任何违约责任。</w:t>
      </w:r>
    </w:p>
    <w:p w14:paraId="067A04FB">
      <w:pPr>
        <w:pStyle w:val="2"/>
        <w:ind w:left="0" w:leftChars="0" w:firstLine="0" w:firstLineChars="0"/>
        <w:rPr>
          <w:rFonts w:hint="default" w:eastAsiaTheme="minorEastAsia"/>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91665F44-E709-4E1D-ABC6-6B8DFF8D1E8D}"/>
  </w:font>
  <w:font w:name="方正小标宋简体">
    <w:panose1 w:val="03000509000000000000"/>
    <w:charset w:val="86"/>
    <w:family w:val="auto"/>
    <w:pitch w:val="default"/>
    <w:sig w:usb0="00000001" w:usb1="080E0000" w:usb2="00000000" w:usb3="00000000" w:csb0="00040000" w:csb1="00000000"/>
    <w:embedRegular r:id="rId2" w:fontKey="{A5EFCC2E-ADFA-43F4-B2BC-9A1498E8CD27}"/>
  </w:font>
  <w:font w:name="仿宋">
    <w:panose1 w:val="02010609060101010101"/>
    <w:charset w:val="86"/>
    <w:family w:val="auto"/>
    <w:pitch w:val="default"/>
    <w:sig w:usb0="800002BF" w:usb1="38CF7CFA" w:usb2="00000016" w:usb3="00000000" w:csb0="00040001" w:csb1="00000000"/>
    <w:embedRegular r:id="rId3" w:fontKey="{3DE771EE-0C72-45C6-88DB-CE9626A673F5}"/>
  </w:font>
  <w:font w:name="Noto Sans SC">
    <w:panose1 w:val="020B05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57573">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FDC8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7FDC8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4766F"/>
    <w:rsid w:val="00C01019"/>
    <w:rsid w:val="01592BA7"/>
    <w:rsid w:val="01714809"/>
    <w:rsid w:val="01B42948"/>
    <w:rsid w:val="01B54469"/>
    <w:rsid w:val="02094261"/>
    <w:rsid w:val="03B60333"/>
    <w:rsid w:val="03D64DF8"/>
    <w:rsid w:val="041B4F7E"/>
    <w:rsid w:val="04311D7B"/>
    <w:rsid w:val="0468400E"/>
    <w:rsid w:val="047168CE"/>
    <w:rsid w:val="053E4A03"/>
    <w:rsid w:val="053E7D2E"/>
    <w:rsid w:val="06091024"/>
    <w:rsid w:val="066165AE"/>
    <w:rsid w:val="06AB7729"/>
    <w:rsid w:val="06DB44D3"/>
    <w:rsid w:val="06E23AB3"/>
    <w:rsid w:val="072C76B6"/>
    <w:rsid w:val="076102BC"/>
    <w:rsid w:val="082223BA"/>
    <w:rsid w:val="08404F36"/>
    <w:rsid w:val="08E4766F"/>
    <w:rsid w:val="093F51ED"/>
    <w:rsid w:val="09503DD3"/>
    <w:rsid w:val="09554A11"/>
    <w:rsid w:val="0A0F2E11"/>
    <w:rsid w:val="0A2F7000"/>
    <w:rsid w:val="0A525D82"/>
    <w:rsid w:val="0B980BE5"/>
    <w:rsid w:val="0BFF11DF"/>
    <w:rsid w:val="0C2C32C7"/>
    <w:rsid w:val="0CE20369"/>
    <w:rsid w:val="0D3606B5"/>
    <w:rsid w:val="0D6C161E"/>
    <w:rsid w:val="0D7215BF"/>
    <w:rsid w:val="0D7511DD"/>
    <w:rsid w:val="0DCD2DC7"/>
    <w:rsid w:val="0DCF60DD"/>
    <w:rsid w:val="0E0D58BA"/>
    <w:rsid w:val="0E2269C7"/>
    <w:rsid w:val="0E3776C4"/>
    <w:rsid w:val="0E417312"/>
    <w:rsid w:val="0E5168F6"/>
    <w:rsid w:val="104430E9"/>
    <w:rsid w:val="10982A37"/>
    <w:rsid w:val="10AF0EAA"/>
    <w:rsid w:val="10CA1840"/>
    <w:rsid w:val="10FF6E3B"/>
    <w:rsid w:val="110803B4"/>
    <w:rsid w:val="11125B04"/>
    <w:rsid w:val="111331E7"/>
    <w:rsid w:val="119E39C9"/>
    <w:rsid w:val="121466E6"/>
    <w:rsid w:val="121865DB"/>
    <w:rsid w:val="123A29F6"/>
    <w:rsid w:val="124556E0"/>
    <w:rsid w:val="12CA5B28"/>
    <w:rsid w:val="130059ED"/>
    <w:rsid w:val="138E77A8"/>
    <w:rsid w:val="13CC1D73"/>
    <w:rsid w:val="13DC1FB6"/>
    <w:rsid w:val="146D70B2"/>
    <w:rsid w:val="150C68CB"/>
    <w:rsid w:val="15237771"/>
    <w:rsid w:val="154D0C92"/>
    <w:rsid w:val="155572BB"/>
    <w:rsid w:val="15791A87"/>
    <w:rsid w:val="157F6158"/>
    <w:rsid w:val="15FA4976"/>
    <w:rsid w:val="16005D69"/>
    <w:rsid w:val="16272E7D"/>
    <w:rsid w:val="16652CBD"/>
    <w:rsid w:val="16F21AF1"/>
    <w:rsid w:val="17B44FF8"/>
    <w:rsid w:val="188350F6"/>
    <w:rsid w:val="18B51028"/>
    <w:rsid w:val="1A4236F8"/>
    <w:rsid w:val="1A6C1BBA"/>
    <w:rsid w:val="1A9C5B95"/>
    <w:rsid w:val="1ACF642C"/>
    <w:rsid w:val="1B236319"/>
    <w:rsid w:val="1B66485B"/>
    <w:rsid w:val="1B7C26C0"/>
    <w:rsid w:val="1B9735D8"/>
    <w:rsid w:val="1BF81957"/>
    <w:rsid w:val="1C47643B"/>
    <w:rsid w:val="1CC161ED"/>
    <w:rsid w:val="1CF739BD"/>
    <w:rsid w:val="1CFF6D16"/>
    <w:rsid w:val="1D41732E"/>
    <w:rsid w:val="1E1F1B54"/>
    <w:rsid w:val="1E4B0DCA"/>
    <w:rsid w:val="1EA062D6"/>
    <w:rsid w:val="1F1E561E"/>
    <w:rsid w:val="1F6018AE"/>
    <w:rsid w:val="1F8F6892"/>
    <w:rsid w:val="1F923E71"/>
    <w:rsid w:val="1F9F033C"/>
    <w:rsid w:val="1FD7009C"/>
    <w:rsid w:val="1FDE70B6"/>
    <w:rsid w:val="20141DB5"/>
    <w:rsid w:val="205709D5"/>
    <w:rsid w:val="20AD0837"/>
    <w:rsid w:val="20C718F8"/>
    <w:rsid w:val="20EB486D"/>
    <w:rsid w:val="21052421"/>
    <w:rsid w:val="21CE1695"/>
    <w:rsid w:val="2205357E"/>
    <w:rsid w:val="224376A4"/>
    <w:rsid w:val="22671F9E"/>
    <w:rsid w:val="227930C6"/>
    <w:rsid w:val="22CE3649"/>
    <w:rsid w:val="22D447A0"/>
    <w:rsid w:val="23151041"/>
    <w:rsid w:val="231E6F17"/>
    <w:rsid w:val="235D4796"/>
    <w:rsid w:val="2398757C"/>
    <w:rsid w:val="239B187C"/>
    <w:rsid w:val="23BC14BC"/>
    <w:rsid w:val="23CE2152"/>
    <w:rsid w:val="240E42F7"/>
    <w:rsid w:val="242023D2"/>
    <w:rsid w:val="24613E12"/>
    <w:rsid w:val="250C7BDD"/>
    <w:rsid w:val="254E083A"/>
    <w:rsid w:val="258E7C7F"/>
    <w:rsid w:val="259C4852"/>
    <w:rsid w:val="25FE400E"/>
    <w:rsid w:val="266B71CA"/>
    <w:rsid w:val="26C30DB4"/>
    <w:rsid w:val="26EE0F6E"/>
    <w:rsid w:val="27787DF0"/>
    <w:rsid w:val="27D767A4"/>
    <w:rsid w:val="29323AF0"/>
    <w:rsid w:val="294855A0"/>
    <w:rsid w:val="298C2CFC"/>
    <w:rsid w:val="2AA34A80"/>
    <w:rsid w:val="2AF66A43"/>
    <w:rsid w:val="2BCF1FA9"/>
    <w:rsid w:val="2BD355F5"/>
    <w:rsid w:val="2BE5357A"/>
    <w:rsid w:val="2C3533FE"/>
    <w:rsid w:val="2C5B1F28"/>
    <w:rsid w:val="2C9A25B7"/>
    <w:rsid w:val="2CFE2B46"/>
    <w:rsid w:val="2DCC2C44"/>
    <w:rsid w:val="2E114AFB"/>
    <w:rsid w:val="2E4E3659"/>
    <w:rsid w:val="2E913546"/>
    <w:rsid w:val="2F8135BA"/>
    <w:rsid w:val="2FD45DE0"/>
    <w:rsid w:val="2FDE0A0C"/>
    <w:rsid w:val="3033189D"/>
    <w:rsid w:val="30B76275"/>
    <w:rsid w:val="30C94242"/>
    <w:rsid w:val="30DB023F"/>
    <w:rsid w:val="30DC0F0A"/>
    <w:rsid w:val="317C672F"/>
    <w:rsid w:val="32717916"/>
    <w:rsid w:val="32917FB8"/>
    <w:rsid w:val="32A0714D"/>
    <w:rsid w:val="32BC0A3E"/>
    <w:rsid w:val="332C1A8F"/>
    <w:rsid w:val="33501744"/>
    <w:rsid w:val="33596D28"/>
    <w:rsid w:val="33C643B2"/>
    <w:rsid w:val="341205E5"/>
    <w:rsid w:val="34384B8F"/>
    <w:rsid w:val="34BB756E"/>
    <w:rsid w:val="34FD36E3"/>
    <w:rsid w:val="3558300F"/>
    <w:rsid w:val="35973B37"/>
    <w:rsid w:val="35B75F88"/>
    <w:rsid w:val="35DE52C2"/>
    <w:rsid w:val="36430E9A"/>
    <w:rsid w:val="367207C6"/>
    <w:rsid w:val="37123819"/>
    <w:rsid w:val="37555A58"/>
    <w:rsid w:val="37C8447C"/>
    <w:rsid w:val="37C9737D"/>
    <w:rsid w:val="37EA43F2"/>
    <w:rsid w:val="38064FA4"/>
    <w:rsid w:val="38084A5E"/>
    <w:rsid w:val="38BD6007"/>
    <w:rsid w:val="392576AC"/>
    <w:rsid w:val="39396CB4"/>
    <w:rsid w:val="394C4C39"/>
    <w:rsid w:val="3971644D"/>
    <w:rsid w:val="39E430C3"/>
    <w:rsid w:val="3A280339"/>
    <w:rsid w:val="3A68758F"/>
    <w:rsid w:val="3A773F37"/>
    <w:rsid w:val="3A8A3C6B"/>
    <w:rsid w:val="3B0C4680"/>
    <w:rsid w:val="3B2929B3"/>
    <w:rsid w:val="3B3360B0"/>
    <w:rsid w:val="3BE63123"/>
    <w:rsid w:val="3C0B0DDB"/>
    <w:rsid w:val="3CB159AF"/>
    <w:rsid w:val="3CF44EA5"/>
    <w:rsid w:val="3D22501F"/>
    <w:rsid w:val="3E210442"/>
    <w:rsid w:val="3E7C7D6E"/>
    <w:rsid w:val="3F0E4E1B"/>
    <w:rsid w:val="3F122481"/>
    <w:rsid w:val="3F2B5F0C"/>
    <w:rsid w:val="3F4D5CCE"/>
    <w:rsid w:val="3F584337"/>
    <w:rsid w:val="3FB3156E"/>
    <w:rsid w:val="3FB83028"/>
    <w:rsid w:val="40257AEB"/>
    <w:rsid w:val="404F4538"/>
    <w:rsid w:val="412D60B5"/>
    <w:rsid w:val="4133239F"/>
    <w:rsid w:val="41594397"/>
    <w:rsid w:val="41635EDC"/>
    <w:rsid w:val="41653AB8"/>
    <w:rsid w:val="417967E7"/>
    <w:rsid w:val="41BD4E8B"/>
    <w:rsid w:val="41BF069E"/>
    <w:rsid w:val="41F320F5"/>
    <w:rsid w:val="41F44B61"/>
    <w:rsid w:val="42D9578F"/>
    <w:rsid w:val="42E02626"/>
    <w:rsid w:val="42F02AD9"/>
    <w:rsid w:val="434111C9"/>
    <w:rsid w:val="43707776"/>
    <w:rsid w:val="438254C3"/>
    <w:rsid w:val="43F42155"/>
    <w:rsid w:val="445157F9"/>
    <w:rsid w:val="44C45FCB"/>
    <w:rsid w:val="46001285"/>
    <w:rsid w:val="460C19D8"/>
    <w:rsid w:val="46286884"/>
    <w:rsid w:val="462F1B6A"/>
    <w:rsid w:val="46506E72"/>
    <w:rsid w:val="46AB11F1"/>
    <w:rsid w:val="471B7CF4"/>
    <w:rsid w:val="47246F9A"/>
    <w:rsid w:val="477A0183"/>
    <w:rsid w:val="488F069E"/>
    <w:rsid w:val="489B34E7"/>
    <w:rsid w:val="48EE25BF"/>
    <w:rsid w:val="4936242A"/>
    <w:rsid w:val="49F7299F"/>
    <w:rsid w:val="4A001853"/>
    <w:rsid w:val="4A606796"/>
    <w:rsid w:val="4A7B537E"/>
    <w:rsid w:val="4AB17D4A"/>
    <w:rsid w:val="4B4B1FAE"/>
    <w:rsid w:val="4B577F0F"/>
    <w:rsid w:val="4BA477B2"/>
    <w:rsid w:val="4BB072A9"/>
    <w:rsid w:val="4BD27220"/>
    <w:rsid w:val="4C602AB7"/>
    <w:rsid w:val="4D3B0DF4"/>
    <w:rsid w:val="4D4C18CD"/>
    <w:rsid w:val="4DA44BEC"/>
    <w:rsid w:val="4E15533A"/>
    <w:rsid w:val="4F3D70A6"/>
    <w:rsid w:val="4F5245DF"/>
    <w:rsid w:val="4F7E5458"/>
    <w:rsid w:val="4F9B53B2"/>
    <w:rsid w:val="50414974"/>
    <w:rsid w:val="504601DC"/>
    <w:rsid w:val="51136310"/>
    <w:rsid w:val="51752B27"/>
    <w:rsid w:val="51FB0A21"/>
    <w:rsid w:val="520A6757"/>
    <w:rsid w:val="52576A5A"/>
    <w:rsid w:val="52A07B61"/>
    <w:rsid w:val="52BC6534"/>
    <w:rsid w:val="52DB10B0"/>
    <w:rsid w:val="52EC6BE6"/>
    <w:rsid w:val="53795978"/>
    <w:rsid w:val="53A5346C"/>
    <w:rsid w:val="53AC47FA"/>
    <w:rsid w:val="548F2152"/>
    <w:rsid w:val="54B3589D"/>
    <w:rsid w:val="54F2623D"/>
    <w:rsid w:val="55653B22"/>
    <w:rsid w:val="55B81234"/>
    <w:rsid w:val="55EA3558"/>
    <w:rsid w:val="56150EF6"/>
    <w:rsid w:val="564725B8"/>
    <w:rsid w:val="57835872"/>
    <w:rsid w:val="589A10C5"/>
    <w:rsid w:val="58CB5722"/>
    <w:rsid w:val="58FC4F69"/>
    <w:rsid w:val="59E20F76"/>
    <w:rsid w:val="5A3A490E"/>
    <w:rsid w:val="5A3D43FE"/>
    <w:rsid w:val="5A626586"/>
    <w:rsid w:val="5BFF3339"/>
    <w:rsid w:val="5C25339C"/>
    <w:rsid w:val="5C9D16DC"/>
    <w:rsid w:val="5CC9362F"/>
    <w:rsid w:val="5CF6176C"/>
    <w:rsid w:val="5CFC234E"/>
    <w:rsid w:val="5D55380D"/>
    <w:rsid w:val="5D804D2D"/>
    <w:rsid w:val="5E3D65D8"/>
    <w:rsid w:val="5F2D4A41"/>
    <w:rsid w:val="5F88611B"/>
    <w:rsid w:val="5FD046D2"/>
    <w:rsid w:val="5FFD4232"/>
    <w:rsid w:val="602816AC"/>
    <w:rsid w:val="603339DB"/>
    <w:rsid w:val="60B824AA"/>
    <w:rsid w:val="61016185"/>
    <w:rsid w:val="6146003C"/>
    <w:rsid w:val="61692624"/>
    <w:rsid w:val="617F2279"/>
    <w:rsid w:val="61F564A8"/>
    <w:rsid w:val="61FA57DB"/>
    <w:rsid w:val="624502F4"/>
    <w:rsid w:val="62C0797A"/>
    <w:rsid w:val="63061DB7"/>
    <w:rsid w:val="63700796"/>
    <w:rsid w:val="641C6E32"/>
    <w:rsid w:val="646B7484"/>
    <w:rsid w:val="64EB5E98"/>
    <w:rsid w:val="65271F32"/>
    <w:rsid w:val="65384140"/>
    <w:rsid w:val="653B59DE"/>
    <w:rsid w:val="65501D46"/>
    <w:rsid w:val="65997DFD"/>
    <w:rsid w:val="65A11CE5"/>
    <w:rsid w:val="65BC6B1F"/>
    <w:rsid w:val="65C041E2"/>
    <w:rsid w:val="65D06126"/>
    <w:rsid w:val="65D73D34"/>
    <w:rsid w:val="65F55B8D"/>
    <w:rsid w:val="66236B9E"/>
    <w:rsid w:val="665C3A62"/>
    <w:rsid w:val="66726157"/>
    <w:rsid w:val="66952ECC"/>
    <w:rsid w:val="67A66A46"/>
    <w:rsid w:val="6828049B"/>
    <w:rsid w:val="683C26C4"/>
    <w:rsid w:val="68680898"/>
    <w:rsid w:val="68957A1F"/>
    <w:rsid w:val="696C0215"/>
    <w:rsid w:val="697D0373"/>
    <w:rsid w:val="699D403F"/>
    <w:rsid w:val="69A2427D"/>
    <w:rsid w:val="6A9A31A7"/>
    <w:rsid w:val="6AAA163C"/>
    <w:rsid w:val="6AFB5BA3"/>
    <w:rsid w:val="6B901CD8"/>
    <w:rsid w:val="6B945E48"/>
    <w:rsid w:val="6BC01F13"/>
    <w:rsid w:val="6BDA7CFF"/>
    <w:rsid w:val="6C2C42D2"/>
    <w:rsid w:val="6C382C77"/>
    <w:rsid w:val="6D1014FE"/>
    <w:rsid w:val="6DF64DA5"/>
    <w:rsid w:val="6E7C3ECE"/>
    <w:rsid w:val="6E9E4C99"/>
    <w:rsid w:val="6EDF387E"/>
    <w:rsid w:val="6EFE1F56"/>
    <w:rsid w:val="6F11762D"/>
    <w:rsid w:val="6F1A08FC"/>
    <w:rsid w:val="70303A38"/>
    <w:rsid w:val="704240C4"/>
    <w:rsid w:val="70447E3C"/>
    <w:rsid w:val="70F93350"/>
    <w:rsid w:val="71067219"/>
    <w:rsid w:val="7128150C"/>
    <w:rsid w:val="713A4D9B"/>
    <w:rsid w:val="71791D68"/>
    <w:rsid w:val="718030F6"/>
    <w:rsid w:val="718814E9"/>
    <w:rsid w:val="72A72905"/>
    <w:rsid w:val="72C03E5C"/>
    <w:rsid w:val="73165394"/>
    <w:rsid w:val="73852A1F"/>
    <w:rsid w:val="73BF3BE6"/>
    <w:rsid w:val="741720A9"/>
    <w:rsid w:val="74493C73"/>
    <w:rsid w:val="749807EE"/>
    <w:rsid w:val="75200292"/>
    <w:rsid w:val="75814476"/>
    <w:rsid w:val="76B15B00"/>
    <w:rsid w:val="770C71DA"/>
    <w:rsid w:val="773163E4"/>
    <w:rsid w:val="77BA6C36"/>
    <w:rsid w:val="77CF26E1"/>
    <w:rsid w:val="78222BDF"/>
    <w:rsid w:val="78972D7F"/>
    <w:rsid w:val="789D458E"/>
    <w:rsid w:val="790A45C0"/>
    <w:rsid w:val="79872B48"/>
    <w:rsid w:val="79EE5FFB"/>
    <w:rsid w:val="7A342CD0"/>
    <w:rsid w:val="7AC027B5"/>
    <w:rsid w:val="7B914152"/>
    <w:rsid w:val="7C7575D0"/>
    <w:rsid w:val="7CF57E0E"/>
    <w:rsid w:val="7D0932A6"/>
    <w:rsid w:val="7D3A6C30"/>
    <w:rsid w:val="7DBF7371"/>
    <w:rsid w:val="7DE5079C"/>
    <w:rsid w:val="7DFC1D56"/>
    <w:rsid w:val="7E553215"/>
    <w:rsid w:val="7E7F4735"/>
    <w:rsid w:val="7E8E6727"/>
    <w:rsid w:val="7FB53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5">
    <w:name w:val="Default Paragraph Font"/>
    <w:semiHidden/>
    <w:qFormat/>
    <w:uiPriority w:val="0"/>
    <w:rPr>
      <w:rFonts w:ascii="Calibri" w:hAnsi="Calibri" w:eastAsia="仿宋_GB2312"/>
      <w:sz w:val="32"/>
    </w:rPr>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__正文"/>
    <w:basedOn w:val="1"/>
    <w:qFormat/>
    <w:uiPriority w:val="0"/>
    <w:pPr>
      <w:spacing w:line="480" w:lineRule="exact"/>
      <w:ind w:firstLine="200"/>
    </w:pPr>
    <w:rPr>
      <w:rFonts w:cs="Times New Roman"/>
      <w:kern w:val="0"/>
    </w:rPr>
  </w:style>
  <w:style w:type="paragraph" w:styleId="4">
    <w:name w:val="Body Text"/>
    <w:basedOn w:val="1"/>
    <w:next w:val="5"/>
    <w:qFormat/>
    <w:uiPriority w:val="0"/>
    <w:pPr>
      <w:jc w:val="center"/>
    </w:pPr>
    <w:rPr>
      <w:rFonts w:ascii="Times New Roman" w:hAnsi="Times New Roman" w:eastAsia="黑体" w:cs="Times New Roman"/>
      <w:sz w:val="36"/>
      <w:szCs w:val="20"/>
    </w:rPr>
  </w:style>
  <w:style w:type="paragraph" w:styleId="5">
    <w:name w:val="Body Text 2"/>
    <w:basedOn w:val="1"/>
    <w:qFormat/>
    <w:uiPriority w:val="0"/>
    <w:pPr>
      <w:spacing w:line="480" w:lineRule="auto"/>
    </w:pPr>
    <w:rPr>
      <w:rFonts w:ascii="Times New Roman" w:hAnsi="Times New Roman" w:eastAsia="宋体" w:cs="Times New Roman"/>
    </w:rPr>
  </w:style>
  <w:style w:type="paragraph" w:styleId="6">
    <w:name w:val="Body Text Indent"/>
    <w:basedOn w:val="1"/>
    <w:next w:val="7"/>
    <w:qFormat/>
    <w:uiPriority w:val="0"/>
    <w:pPr>
      <w:spacing w:after="120"/>
      <w:ind w:left="420" w:leftChars="200"/>
    </w:pPr>
  </w:style>
  <w:style w:type="paragraph" w:styleId="7">
    <w:name w:val="envelope return"/>
    <w:basedOn w:val="1"/>
    <w:qFormat/>
    <w:uiPriority w:val="0"/>
    <w:pPr>
      <w:widowControl w:val="0"/>
      <w:snapToGrid w:val="0"/>
      <w:jc w:val="both"/>
    </w:pPr>
    <w:rPr>
      <w:rFonts w:ascii="Arial" w:hAnsi="Arial" w:eastAsia="宋体" w:cs="Times New Roman"/>
      <w:kern w:val="2"/>
      <w:sz w:val="21"/>
      <w:szCs w:val="22"/>
      <w:lang w:val="en-US" w:eastAsia="zh-CN" w:bidi="ar-SA"/>
    </w:rPr>
  </w:style>
  <w:style w:type="paragraph" w:styleId="8">
    <w:name w:val="Plain Text"/>
    <w:basedOn w:val="1"/>
    <w:qFormat/>
    <w:uiPriority w:val="0"/>
    <w:rPr>
      <w:sz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1">
    <w:name w:val="Body Text First Indent"/>
    <w:basedOn w:val="4"/>
    <w:next w:val="12"/>
    <w:qFormat/>
    <w:uiPriority w:val="0"/>
    <w:pPr>
      <w:ind w:firstLine="420" w:firstLineChars="100"/>
    </w:pPr>
    <w:rPr>
      <w:rFonts w:ascii="宋体" w:hAnsi="Times New Roman" w:eastAsia="宋体" w:cs="Times New Roman"/>
      <w:kern w:val="0"/>
      <w:sz w:val="34"/>
      <w:szCs w:val="20"/>
    </w:rPr>
  </w:style>
  <w:style w:type="paragraph" w:styleId="12">
    <w:name w:val="Body Text First Indent 2"/>
    <w:basedOn w:val="6"/>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paragraph" w:customStyle="1" w:styleId="17">
    <w:name w:val="Body Text First Indent"/>
    <w:basedOn w:val="4"/>
    <w:qFormat/>
    <w:uiPriority w:val="0"/>
    <w:pPr>
      <w:adjustRightInd w:val="0"/>
      <w:spacing w:line="312" w:lineRule="atLeast"/>
      <w:ind w:firstLine="420"/>
      <w:textAlignment w:val="baseline"/>
    </w:pPr>
    <w:rPr>
      <w:kern w:val="0"/>
      <w:szCs w:val="24"/>
    </w:rPr>
  </w:style>
  <w:style w:type="paragraph" w:customStyle="1" w:styleId="18">
    <w:name w:val="Body Text Indent 2_f03e68e1-e214-4ca0-9809-4610ee858d2f"/>
    <w:basedOn w:val="1"/>
    <w:autoRedefine/>
    <w:qFormat/>
    <w:uiPriority w:val="0"/>
    <w:pPr>
      <w:spacing w:after="120" w:line="480" w:lineRule="auto"/>
      <w:ind w:left="420" w:leftChars="200"/>
    </w:pPr>
    <w:rPr>
      <w:rFonts w:ascii="Calibri" w:hAnsi="Calibri" w:cs="Times New Roman"/>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662</Words>
  <Characters>706</Characters>
  <Lines>0</Lines>
  <Paragraphs>0</Paragraphs>
  <TotalTime>0</TotalTime>
  <ScaleCrop>false</ScaleCrop>
  <LinksUpToDate>false</LinksUpToDate>
  <CharactersWithSpaces>724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2025-10-17T00:22:00Z</dcterms:created>
  <dc:creator>小雨</dc:creator>
  <cp:lastModifiedBy>WPS_1658882146</cp:lastModifiedBy>
  <dcterms:modified xsi:type="dcterms:W3CDTF">2026-10-13T07:37:08Z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964757287DEE4403A4786634C1B704FF_13</vt:lpwstr>
  </property>
  <property fmtid="{D5CDD505-2E9C-101B-9397-08002B2CF9AE}" pid="4" name="KSOTemplateDocerSaveRecord">
    <vt:lpwstr>eyJoZGlkIjoiNzg3ODU5ZjYyMmM0YjBjOTIyMTM1NmE1ZDhlZDkzNWQiLCJ1c2VySWQiOiIzMTMxMDc2MjYifQ==</vt:lpwstr>
  </property>
</Properties>
</file>