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FB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A529DFC">
      <w:pPr>
        <w:shd w:val="clear" w:color="auto" w:fill="auto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报价单</w:t>
      </w:r>
    </w:p>
    <w:p w14:paraId="578B334D">
      <w:pPr>
        <w:shd w:val="clear" w:color="auto" w:fill="auto"/>
        <w:spacing w:line="560" w:lineRule="exact"/>
        <w:jc w:val="center"/>
        <w:rPr>
          <w:rFonts w:ascii="仿宋_GB2312" w:hAnsi="仿宋" w:eastAsia="仿宋_GB2312" w:cs="仿宋"/>
          <w:b/>
          <w:sz w:val="32"/>
          <w:szCs w:val="32"/>
        </w:rPr>
      </w:pPr>
    </w:p>
    <w:tbl>
      <w:tblPr>
        <w:tblStyle w:val="13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457E1C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7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8E61B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0EE7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许昌市胖东来天使城生活服务圈公共停车及配套设施提升工程-科技广场区域项目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施工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总承包招标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代理机构</w:t>
            </w:r>
          </w:p>
        </w:tc>
      </w:tr>
      <w:tr w14:paraId="36517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A08B72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2F68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公司名称***</w:t>
            </w:r>
          </w:p>
        </w:tc>
      </w:tr>
      <w:tr w14:paraId="6428FA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E5DAA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申请人资质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FF001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43EBE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530EF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项目负责人（职务）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83B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</w:rPr>
            </w:pPr>
          </w:p>
        </w:tc>
      </w:tr>
      <w:tr w14:paraId="2E597F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9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61DE8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4D20D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依据许昌市公共资源交易中心国有企业公开招标相关要求，对采购人组织的项目编制施工总承包单位招标采购文件，并负责项目公开招标采购手续办理和开标工作。</w:t>
            </w:r>
          </w:p>
        </w:tc>
      </w:tr>
      <w:tr w14:paraId="0B78E6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55AB3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bidi="ar"/>
              </w:rPr>
              <w:t>报价</w:t>
            </w:r>
          </w:p>
          <w:p w14:paraId="13D05D00">
            <w:pPr>
              <w:pStyle w:val="2"/>
              <w:ind w:firstLine="626" w:firstLineChars="195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eastAsia="zh-CN" w:bidi="ar"/>
              </w:rPr>
              <w:t>（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下浮率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eastAsia="zh-CN" w:bidi="ar"/>
              </w:rPr>
              <w:t>）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D5C97">
            <w:pPr>
              <w:widowControl/>
              <w:shd w:val="clear" w:color="auto" w:fill="auto"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lang w:val="en-US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下浮</w:t>
            </w: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u w:val="single"/>
                <w:lang w:val="en-US" w:eastAsia="zh-CN"/>
              </w:rPr>
              <w:t>****</w:t>
            </w:r>
            <w:r>
              <w:rPr>
                <w:rFonts w:hint="eastAsia" w:ascii="仿宋_GB2312" w:hAnsi="宋体" w:eastAsia="仿宋_GB2312" w:cs="仿宋_GB2312"/>
                <w:b w:val="0"/>
                <w:bCs/>
                <w:color w:val="000000"/>
                <w:sz w:val="32"/>
                <w:szCs w:val="32"/>
                <w:lang w:val="en-US" w:eastAsia="zh-CN"/>
              </w:rPr>
              <w:t>%（含税）</w:t>
            </w:r>
          </w:p>
        </w:tc>
      </w:tr>
    </w:tbl>
    <w:p w14:paraId="4D598A37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BF41D22">
      <w:pPr>
        <w:shd w:val="clear" w:color="auto" w:fill="auto"/>
        <w:adjustRightInd w:val="0"/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E354F31">
      <w:pPr>
        <w:pStyle w:val="3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20E11217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E6485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5C82FC14">
      <w:pPr>
        <w:pStyle w:val="8"/>
        <w:spacing w:line="240" w:lineRule="auto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zh-CN"/>
        </w:rPr>
        <w:t>评标标准</w:t>
      </w:r>
    </w:p>
    <w:p w14:paraId="39EA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一、资格审查</w:t>
      </w:r>
    </w:p>
    <w:p w14:paraId="6D537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。</w:t>
      </w:r>
    </w:p>
    <w:p w14:paraId="2DAB6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二、评审</w:t>
      </w:r>
    </w:p>
    <w:p w14:paraId="09F58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（一）评审方法</w:t>
      </w:r>
    </w:p>
    <w:p w14:paraId="14797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 w:eastAsia="zh-CN"/>
        </w:rPr>
        <w:t>本项目采用综合评分法。总分为 100 分。</w:t>
      </w:r>
    </w:p>
    <w:p w14:paraId="6C347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（二）评分办法</w:t>
      </w:r>
    </w:p>
    <w:tbl>
      <w:tblPr>
        <w:tblStyle w:val="13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10F0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13" w:type="dxa"/>
            <w:vAlign w:val="center"/>
          </w:tcPr>
          <w:p w14:paraId="6E480701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分值构成</w:t>
            </w:r>
          </w:p>
          <w:p w14:paraId="332F293D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1FE8C0E0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企业报价：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</w:t>
            </w:r>
          </w:p>
          <w:p w14:paraId="3761045A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服务方案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 xml:space="preserve"> 分</w:t>
            </w:r>
          </w:p>
          <w:p w14:paraId="1B3FABD7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分</w:t>
            </w:r>
          </w:p>
          <w:p w14:paraId="60CEAF32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管理机构： 20 分</w:t>
            </w:r>
          </w:p>
        </w:tc>
      </w:tr>
      <w:tr w14:paraId="67401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91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B08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评标标准</w:t>
            </w:r>
          </w:p>
        </w:tc>
      </w:tr>
      <w:tr w14:paraId="67D2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03C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报价</w:t>
            </w:r>
          </w:p>
          <w:p w14:paraId="788E25E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95B9E">
            <w:pPr>
              <w:widowControl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1.收费超过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控制价的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为无效报价；</w:t>
            </w:r>
          </w:p>
          <w:p w14:paraId="6C35501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评标基准价：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取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满足招标文件要求的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所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效投标报价的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平均值为评标基准价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。</w:t>
            </w:r>
          </w:p>
          <w:p w14:paraId="667AE24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eastAsiaTheme="minorEastAsia"/>
                <w:position w:val="-26"/>
                <w:lang w:eastAsia="zh-CN"/>
              </w:rPr>
              <w:object>
                <v:shape id="_x0000_i1025" o:spt="75" type="#_x0000_t75" style="height:36pt;width:229.9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Equation.KSEE3" ShapeID="_x0000_i1025" DrawAspect="Content" ObjectID="_1468075725" r:id="rId5">
                  <o:LockedField>false</o:LockedField>
                </o:OLEObject>
              </w:object>
            </w:r>
          </w:p>
        </w:tc>
      </w:tr>
      <w:tr w14:paraId="78D0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74F7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服务方案</w:t>
            </w:r>
          </w:p>
          <w:p w14:paraId="65E01F51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8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阐述招标采购代理各阶段的工作内容、工作重点、工作方法和工作流程（0-10分）；阐述招标采购过程中的风险防控及相应预案（0-10分）；保密措施及档案管理制度（0-5分）；服务承诺（0-5分）</w:t>
            </w:r>
          </w:p>
          <w:p w14:paraId="28A066C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如有缺陷，酌情扣分。缺陷是指：存在项目名称错误、内容与本项目需求关联度不高、方案与采购人实际情况结合度不高、方案内容针对性弱、方案内容矛盾、仅有框架或标题明显复制其他项目内容等任意一种情形。</w:t>
            </w:r>
          </w:p>
        </w:tc>
      </w:tr>
      <w:tr w14:paraId="4D43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D0D6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企业业绩</w:t>
            </w:r>
          </w:p>
          <w:p w14:paraId="0AFED2F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99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自2023年1月1日起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承接过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工程类施工总承包项目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代理服务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的一项得5分，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最高得20分。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（需提供网上中标结果公示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或中标通知书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招标代理合同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，申请文件中附复印件并加盖公章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，时间以招标代理合同签订时间为准。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）</w:t>
            </w:r>
          </w:p>
        </w:tc>
      </w:tr>
      <w:tr w14:paraId="10C29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7B463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管理机构</w:t>
            </w:r>
          </w:p>
          <w:p w14:paraId="4CD5C18B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DC85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40" w:lineRule="exact"/>
              <w:ind w:left="0" w:leftChars="0" w:right="0" w:rightChars="0" w:firstLine="640" w:firstLineChars="200"/>
              <w:jc w:val="both"/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组人员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具有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工程类或经济类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中级</w:t>
            </w:r>
            <w:r>
              <w:rPr>
                <w:rFonts w:hint="eastAsia" w:eastAsia="仿宋_GB2312" w:cs="Times New Roman"/>
                <w:sz w:val="32"/>
                <w:szCs w:val="32"/>
                <w:lang w:val="zh-CN"/>
              </w:rPr>
              <w:t>（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含</w:t>
            </w:r>
            <w:r>
              <w:rPr>
                <w:rFonts w:hint="eastAsia" w:eastAsia="仿宋_GB2312" w:cs="Times New Roman"/>
                <w:sz w:val="32"/>
                <w:szCs w:val="32"/>
                <w:lang w:val="zh-CN"/>
              </w:rPr>
              <w:t>）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职称得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分，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本项最高得20分。</w:t>
            </w:r>
          </w:p>
          <w:p w14:paraId="61E72798">
            <w:pPr>
              <w:pStyle w:val="11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（需提供劳动合同等证明材料及证书复印件）</w:t>
            </w:r>
          </w:p>
        </w:tc>
      </w:tr>
    </w:tbl>
    <w:p w14:paraId="25840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  <w:t>候选人</w:t>
      </w:r>
    </w:p>
    <w:p w14:paraId="1D306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</w:rPr>
        <w:t>采用综合评分法，按照得分由高到低确定候选人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42B4EDA2">
      <w:pPr>
        <w:pStyle w:val="11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384AC0E">
      <w:pPr>
        <w:pStyle w:val="12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0F06852E">
      <w:pPr>
        <w:pStyle w:val="12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AE7888C">
      <w:pPr>
        <w:pStyle w:val="12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BFE6195">
      <w:pPr>
        <w:pStyle w:val="12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6365C44">
      <w:pPr>
        <w:pStyle w:val="1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661AAB15">
      <w:pPr>
        <w:pStyle w:val="12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E8C915F">
      <w:pPr>
        <w:pStyle w:val="12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附件3：</w:t>
      </w:r>
    </w:p>
    <w:p w14:paraId="3FE68D1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0C59F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477B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0295E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F63C4FF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A82C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0038F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0C5BD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5370E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466F5FC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49F06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322375C1">
      <w:pPr>
        <w:ind w:firstLine="4160" w:firstLineChars="13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624CC397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37130D7-5B53-470D-9F4C-BE7C65F3DD1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468ADBE-2D1A-4917-8783-3F938608422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991C1E1-0220-4D76-A620-D083B76EAB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57573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7FDC80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7FDC80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766F"/>
    <w:rsid w:val="00704336"/>
    <w:rsid w:val="022D245A"/>
    <w:rsid w:val="023A4BFB"/>
    <w:rsid w:val="03B60333"/>
    <w:rsid w:val="04311D7B"/>
    <w:rsid w:val="053E7D2E"/>
    <w:rsid w:val="08AA4CD9"/>
    <w:rsid w:val="08E4766F"/>
    <w:rsid w:val="0E3776C4"/>
    <w:rsid w:val="10FF6E3B"/>
    <w:rsid w:val="121865DB"/>
    <w:rsid w:val="198D2C6F"/>
    <w:rsid w:val="1B9735D8"/>
    <w:rsid w:val="1F923E71"/>
    <w:rsid w:val="20141DB5"/>
    <w:rsid w:val="2185505E"/>
    <w:rsid w:val="22671F9E"/>
    <w:rsid w:val="239B187C"/>
    <w:rsid w:val="23CE2152"/>
    <w:rsid w:val="242023D2"/>
    <w:rsid w:val="24B76A25"/>
    <w:rsid w:val="24FF6BC6"/>
    <w:rsid w:val="27787DF0"/>
    <w:rsid w:val="29D137E8"/>
    <w:rsid w:val="2A863293"/>
    <w:rsid w:val="2C383613"/>
    <w:rsid w:val="2C5B1F28"/>
    <w:rsid w:val="2E913546"/>
    <w:rsid w:val="30B76275"/>
    <w:rsid w:val="32A0714D"/>
    <w:rsid w:val="332C1A8F"/>
    <w:rsid w:val="33501744"/>
    <w:rsid w:val="367207C6"/>
    <w:rsid w:val="37EA43F2"/>
    <w:rsid w:val="38064FA4"/>
    <w:rsid w:val="392576AC"/>
    <w:rsid w:val="3CB159AF"/>
    <w:rsid w:val="3FB3156E"/>
    <w:rsid w:val="40257AEB"/>
    <w:rsid w:val="41A00BC8"/>
    <w:rsid w:val="41BF069E"/>
    <w:rsid w:val="46506E72"/>
    <w:rsid w:val="477A0183"/>
    <w:rsid w:val="4936242A"/>
    <w:rsid w:val="4B577F0F"/>
    <w:rsid w:val="5010240B"/>
    <w:rsid w:val="54D5142A"/>
    <w:rsid w:val="56382375"/>
    <w:rsid w:val="58FC4F69"/>
    <w:rsid w:val="5CC9362F"/>
    <w:rsid w:val="603E50D6"/>
    <w:rsid w:val="606079EE"/>
    <w:rsid w:val="61355E2F"/>
    <w:rsid w:val="63B8004A"/>
    <w:rsid w:val="65501D46"/>
    <w:rsid w:val="66236B9E"/>
    <w:rsid w:val="69043565"/>
    <w:rsid w:val="696C0215"/>
    <w:rsid w:val="6B901CD8"/>
    <w:rsid w:val="6E7C3ECE"/>
    <w:rsid w:val="70447E3C"/>
    <w:rsid w:val="70AC6B88"/>
    <w:rsid w:val="72220F73"/>
    <w:rsid w:val="73165394"/>
    <w:rsid w:val="75A803E5"/>
    <w:rsid w:val="75C970D2"/>
    <w:rsid w:val="75F419BD"/>
    <w:rsid w:val="7770280F"/>
    <w:rsid w:val="7AC027B5"/>
    <w:rsid w:val="7D0932A6"/>
    <w:rsid w:val="7F76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_正文"/>
    <w:basedOn w:val="1"/>
    <w:qFormat/>
    <w:uiPriority w:val="0"/>
    <w:pPr>
      <w:spacing w:line="480" w:lineRule="exact"/>
      <w:ind w:firstLine="200"/>
    </w:pPr>
    <w:rPr>
      <w:rFonts w:cs="Times New Roman"/>
      <w:kern w:val="0"/>
    </w:rPr>
  </w:style>
  <w:style w:type="paragraph" w:styleId="4">
    <w:name w:val="Body Text"/>
    <w:basedOn w:val="1"/>
    <w:next w:val="5"/>
    <w:qFormat/>
    <w:uiPriority w:val="0"/>
    <w:pPr>
      <w:jc w:val="center"/>
    </w:pPr>
    <w:rPr>
      <w:rFonts w:ascii="Times New Roman" w:hAnsi="Times New Roman" w:eastAsia="黑体" w:cs="Times New Roman"/>
      <w:sz w:val="36"/>
      <w:szCs w:val="20"/>
    </w:r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6">
    <w:name w:val="Body Text Indent"/>
    <w:basedOn w:val="1"/>
    <w:next w:val="7"/>
    <w:qFormat/>
    <w:uiPriority w:val="0"/>
    <w:pPr>
      <w:spacing w:after="120"/>
      <w:ind w:left="420" w:leftChars="200"/>
    </w:pPr>
  </w:style>
  <w:style w:type="paragraph" w:styleId="7">
    <w:name w:val="envelope return"/>
    <w:basedOn w:val="1"/>
    <w:qFormat/>
    <w:uiPriority w:val="0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8">
    <w:name w:val="Plain Text"/>
    <w:basedOn w:val="1"/>
    <w:qFormat/>
    <w:uiPriority w:val="0"/>
    <w:rPr>
      <w:sz w:val="24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Body Text First Indent"/>
    <w:basedOn w:val="4"/>
    <w:next w:val="12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2">
    <w:name w:val="Body Text First Indent 2"/>
    <w:basedOn w:val="6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5">
    <w:name w:val="Body Text First Indent"/>
    <w:basedOn w:val="4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1089</Words>
  <Characters>1128</Characters>
  <Lines>0</Lines>
  <Paragraphs>0</Paragraphs>
  <TotalTime>0</TotalTime>
  <ScaleCrop>false</ScaleCrop>
  <LinksUpToDate>false</LinksUpToDate>
  <CharactersWithSpaces>1153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2025-10-17T00:22:00Z</dcterms:created>
  <dc:creator>小雨</dc:creator>
  <cp:lastModifiedBy>WPS_1658882146</cp:lastModifiedBy>
  <cp:lastPrinted>2026-07-06T02:02:00Z</cp:lastPrinted>
  <dcterms:modified xsi:type="dcterms:W3CDTF">2026-10-13T07:37:55Z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D93466F7223049D48AB119BE9F4F3F0D_13</vt:lpwstr>
  </property>
  <property fmtid="{D5CDD505-2E9C-101B-9397-08002B2CF9AE}" pid="4" name="KSOTemplateDocerSaveRecord">
    <vt:lpwstr>eyJoZGlkIjoiNzg3ODU5ZjYyMmM0YjBjOTIyMTM1NmE1ZDhlZDkzNWQiLCJ1c2VySWQiOiIzMTMxMDc2MjYifQ==</vt:lpwstr>
  </property>
</Properties>
</file>