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FB8CA">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仿宋_GB2312" w:hAnsi="仿宋_GB2312" w:eastAsia="仿宋_GB2312" w:cs="仿宋_GB2312"/>
          <w:sz w:val="32"/>
          <w:szCs w:val="32"/>
          <w:highlight w:val="none"/>
          <w:lang w:val="en-US" w:eastAsia="zh-CN"/>
        </w:rPr>
      </w:pPr>
      <w:bookmarkStart w:id="0" w:name="_GoBack"/>
      <w:bookmarkEnd w:id="0"/>
      <w:r>
        <w:rPr>
          <w:rFonts w:hint="eastAsia" w:ascii="仿宋_GB2312" w:hAnsi="仿宋_GB2312" w:eastAsia="仿宋_GB2312" w:cs="仿宋_GB2312"/>
          <w:sz w:val="32"/>
          <w:szCs w:val="32"/>
          <w:highlight w:val="none"/>
          <w:lang w:val="en-US" w:eastAsia="zh-CN"/>
        </w:rPr>
        <w:t>附件1</w:t>
      </w:r>
    </w:p>
    <w:p w14:paraId="1A529DFC">
      <w:pPr>
        <w:shd w:val="clear" w:color="auto" w:fill="auto"/>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报价单</w:t>
      </w:r>
    </w:p>
    <w:p w14:paraId="578B334D">
      <w:pPr>
        <w:shd w:val="clear" w:color="auto" w:fill="auto"/>
        <w:spacing w:line="560" w:lineRule="exact"/>
        <w:jc w:val="center"/>
        <w:rPr>
          <w:rFonts w:ascii="仿宋_GB2312" w:hAnsi="仿宋" w:eastAsia="仿宋_GB2312" w:cs="仿宋"/>
          <w:b/>
          <w:sz w:val="32"/>
          <w:szCs w:val="32"/>
        </w:rPr>
      </w:pPr>
    </w:p>
    <w:tbl>
      <w:tblPr>
        <w:tblStyle w:val="13"/>
        <w:tblW w:w="8683" w:type="dxa"/>
        <w:tblInd w:w="0" w:type="dxa"/>
        <w:tblLayout w:type="fixed"/>
        <w:tblCellMar>
          <w:top w:w="15" w:type="dxa"/>
          <w:left w:w="15" w:type="dxa"/>
          <w:bottom w:w="15" w:type="dxa"/>
          <w:right w:w="15" w:type="dxa"/>
        </w:tblCellMar>
      </w:tblPr>
      <w:tblGrid>
        <w:gridCol w:w="3134"/>
        <w:gridCol w:w="5549"/>
      </w:tblGrid>
      <w:tr w14:paraId="457E1CDE">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E58E61B">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3C4593F0">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hint="default" w:ascii="仿宋_GB2312" w:hAnsi="仿宋_GB2312" w:eastAsia="仿宋_GB2312" w:cs="仿宋_GB2312"/>
                <w:b w:val="0"/>
                <w:bCs/>
                <w:color w:val="000000"/>
                <w:sz w:val="24"/>
                <w:szCs w:val="24"/>
                <w:lang w:val="en-US" w:eastAsia="zh-CN"/>
              </w:rPr>
            </w:pPr>
            <w:r>
              <w:rPr>
                <w:rFonts w:hint="eastAsia" w:ascii="仿宋_GB2312" w:hAnsi="宋体" w:eastAsia="仿宋_GB2312" w:cs="仿宋_GB2312"/>
                <w:b w:val="0"/>
                <w:bCs/>
                <w:color w:val="000000"/>
                <w:sz w:val="32"/>
                <w:szCs w:val="32"/>
                <w:lang w:val="en-US" w:eastAsia="zh-CN"/>
              </w:rPr>
              <w:t>许昌市胖东来天使城生活服务圈公共停车及配套设施提升工程监理单位比选</w:t>
            </w:r>
          </w:p>
        </w:tc>
      </w:tr>
      <w:tr w14:paraId="36517319">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21A08B72">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0512F687">
            <w:pPr>
              <w:widowControl/>
              <w:shd w:val="clear" w:color="auto" w:fill="auto"/>
              <w:spacing w:line="560" w:lineRule="exact"/>
              <w:jc w:val="center"/>
              <w:textAlignment w:val="center"/>
              <w:rPr>
                <w:rFonts w:hint="default" w:ascii="仿宋_GB2312" w:hAnsi="宋体" w:eastAsia="仿宋_GB2312" w:cs="仿宋_GB2312"/>
                <w:b/>
                <w:color w:val="000000"/>
                <w:sz w:val="32"/>
                <w:szCs w:val="32"/>
                <w:lang w:val="en-US" w:eastAsia="zh-CN"/>
              </w:rPr>
            </w:pPr>
            <w:r>
              <w:rPr>
                <w:rFonts w:hint="eastAsia" w:ascii="仿宋_GB2312" w:hAnsi="宋体" w:eastAsia="仿宋_GB2312" w:cs="仿宋_GB2312"/>
                <w:b w:val="0"/>
                <w:bCs/>
                <w:color w:val="000000"/>
                <w:sz w:val="32"/>
                <w:szCs w:val="32"/>
                <w:lang w:val="en-US" w:eastAsia="zh-CN"/>
              </w:rPr>
              <w:t>公司名称***</w:t>
            </w:r>
          </w:p>
        </w:tc>
      </w:tr>
      <w:tr w14:paraId="6428FAED">
        <w:tblPrEx>
          <w:tblCellMar>
            <w:top w:w="15" w:type="dxa"/>
            <w:left w:w="15" w:type="dxa"/>
            <w:bottom w:w="15" w:type="dxa"/>
            <w:right w:w="15" w:type="dxa"/>
          </w:tblCellMar>
        </w:tblPrEx>
        <w:trPr>
          <w:trHeight w:val="793"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40BE5DAA">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105FF001">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43EBE471">
        <w:tblPrEx>
          <w:tblCellMar>
            <w:top w:w="15" w:type="dxa"/>
            <w:left w:w="15" w:type="dxa"/>
            <w:bottom w:w="15" w:type="dxa"/>
            <w:right w:w="15" w:type="dxa"/>
          </w:tblCellMar>
        </w:tblPrEx>
        <w:trPr>
          <w:trHeight w:val="90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9C530EF">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15183B66">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ascii="仿宋_GB2312" w:hAnsi="宋体" w:eastAsia="仿宋_GB2312" w:cs="仿宋_GB2312"/>
                <w:b/>
                <w:color w:val="000000"/>
                <w:sz w:val="32"/>
                <w:szCs w:val="32"/>
              </w:rPr>
            </w:pPr>
          </w:p>
        </w:tc>
      </w:tr>
      <w:tr w14:paraId="2E597FAB">
        <w:tblPrEx>
          <w:tblCellMar>
            <w:top w:w="15" w:type="dxa"/>
            <w:left w:w="15" w:type="dxa"/>
            <w:bottom w:w="15" w:type="dxa"/>
            <w:right w:w="15" w:type="dxa"/>
          </w:tblCellMar>
        </w:tblPrEx>
        <w:trPr>
          <w:trHeight w:val="306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4661DE8">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lang w:val="en-US" w:eastAsia="zh-CN" w:bidi="ar"/>
              </w:rPr>
            </w:pPr>
            <w:r>
              <w:rPr>
                <w:rFonts w:hint="eastAsia" w:ascii="仿宋_GB2312" w:hAnsi="宋体" w:eastAsia="仿宋_GB2312" w:cs="仿宋_GB2312"/>
                <w:b/>
                <w:color w:val="000000"/>
                <w:kern w:val="0"/>
                <w:sz w:val="32"/>
                <w:szCs w:val="32"/>
                <w:lang w:val="en-US" w:eastAsia="zh-CN" w:bidi="ar"/>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5AE4D20D">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lang w:bidi="ar"/>
              </w:rPr>
            </w:pPr>
          </w:p>
        </w:tc>
      </w:tr>
      <w:tr w14:paraId="0B78E697">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4555AB3">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报价</w:t>
            </w:r>
          </w:p>
        </w:tc>
        <w:tc>
          <w:tcPr>
            <w:tcW w:w="5549" w:type="dxa"/>
            <w:tcBorders>
              <w:top w:val="single" w:color="000000" w:sz="4" w:space="0"/>
              <w:left w:val="single" w:color="000000" w:sz="4" w:space="0"/>
              <w:bottom w:val="single" w:color="000000" w:sz="4" w:space="0"/>
              <w:right w:val="single" w:color="000000" w:sz="4" w:space="0"/>
            </w:tcBorders>
            <w:vAlign w:val="center"/>
          </w:tcPr>
          <w:p w14:paraId="0DAD5C97">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val="en-US" w:bidi="ar"/>
              </w:rPr>
            </w:pPr>
            <w:r>
              <w:rPr>
                <w:rFonts w:hint="eastAsia" w:ascii="仿宋_GB2312" w:hAnsi="宋体" w:eastAsia="仿宋_GB2312" w:cs="仿宋_GB2312"/>
                <w:b/>
                <w:color w:val="000000"/>
                <w:kern w:val="0"/>
                <w:sz w:val="32"/>
                <w:szCs w:val="32"/>
                <w:highlight w:val="none"/>
                <w:u w:val="single"/>
                <w:lang w:bidi="ar"/>
              </w:rPr>
              <w:t xml:space="preserve"> </w:t>
            </w:r>
            <w:r>
              <w:rPr>
                <w:rFonts w:hint="eastAsia" w:ascii="仿宋_GB2312" w:hAnsi="宋体" w:eastAsia="仿宋_GB2312" w:cs="仿宋_GB2312"/>
                <w:b/>
                <w:color w:val="000000"/>
                <w:kern w:val="0"/>
                <w:sz w:val="32"/>
                <w:szCs w:val="32"/>
                <w:highlight w:val="none"/>
                <w:u w:val="single"/>
                <w:lang w:val="en-US" w:eastAsia="zh-CN" w:bidi="ar"/>
              </w:rPr>
              <w:t xml:space="preserve">   %</w:t>
            </w:r>
            <w:r>
              <w:rPr>
                <w:rFonts w:hint="eastAsia" w:ascii="仿宋_GB2312" w:hAnsi="仿宋_GB2312" w:eastAsia="仿宋_GB2312" w:cs="仿宋_GB2312"/>
                <w:sz w:val="32"/>
                <w:szCs w:val="32"/>
                <w:highlight w:val="none"/>
                <w:lang w:val="en-US" w:eastAsia="zh-CN"/>
              </w:rPr>
              <w:t>（含税）</w:t>
            </w:r>
          </w:p>
        </w:tc>
      </w:tr>
    </w:tbl>
    <w:p w14:paraId="4D598A37">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BF41D22">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E354F31">
      <w:pPr>
        <w:pStyle w:val="2"/>
        <w:ind w:firstLine="5461" w:firstLineChars="17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年    月    日</w:t>
      </w:r>
    </w:p>
    <w:p w14:paraId="394BB9E8">
      <w:pPr>
        <w:rPr>
          <w:rFonts w:hint="eastAsia" w:ascii="仿宋_GB2312" w:hAnsi="仿宋_GB2312" w:eastAsia="仿宋_GB2312" w:cs="仿宋_GB2312"/>
          <w:sz w:val="32"/>
          <w:szCs w:val="32"/>
          <w:highlight w:val="none"/>
          <w:lang w:val="en-US" w:eastAsia="zh-CN"/>
        </w:rPr>
      </w:pPr>
    </w:p>
    <w:p w14:paraId="20E11217">
      <w:pPr>
        <w:rPr>
          <w:rFonts w:hint="eastAsia" w:ascii="仿宋_GB2312" w:hAnsi="仿宋_GB2312" w:eastAsia="仿宋_GB2312" w:cs="仿宋_GB2312"/>
          <w:sz w:val="32"/>
          <w:szCs w:val="32"/>
          <w:highlight w:val="none"/>
          <w:lang w:val="en-US" w:eastAsia="zh-CN"/>
        </w:rPr>
      </w:pPr>
    </w:p>
    <w:p w14:paraId="3E6485DC">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w:t>
      </w:r>
    </w:p>
    <w:p w14:paraId="5C82FC14">
      <w:pPr>
        <w:pStyle w:val="7"/>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评标标准</w:t>
      </w:r>
    </w:p>
    <w:p w14:paraId="39EA38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一、资格审查</w:t>
      </w:r>
    </w:p>
    <w:p w14:paraId="6D5378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zh-CN" w:eastAsia="zh-CN"/>
        </w:rPr>
      </w:pPr>
      <w:r>
        <w:rPr>
          <w:rFonts w:hint="eastAsia" w:ascii="仿宋_GB2312" w:hAnsi="仿宋_GB2312" w:eastAsia="仿宋_GB2312" w:cs="仿宋_GB2312"/>
          <w:sz w:val="32"/>
          <w:szCs w:val="32"/>
          <w:lang w:eastAsia="zh-CN"/>
        </w:rPr>
        <w:t>评审小组对</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eastAsia="zh-CN"/>
        </w:rPr>
        <w:t>人资格进行检查。</w:t>
      </w:r>
      <w:r>
        <w:rPr>
          <w:rFonts w:hint="eastAsia" w:ascii="仿宋_GB2312" w:hAnsi="仿宋_GB2312" w:eastAsia="仿宋_GB2312" w:cs="仿宋_GB2312"/>
          <w:sz w:val="32"/>
          <w:szCs w:val="32"/>
          <w:lang w:val="zh-CN" w:eastAsia="zh-CN"/>
        </w:rPr>
        <w:t>确定符合资格的</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val="zh-CN" w:eastAsia="zh-CN"/>
        </w:rPr>
        <w:t>人不少于3</w:t>
      </w:r>
      <w:r>
        <w:rPr>
          <w:rFonts w:hint="eastAsia" w:ascii="仿宋_GB2312" w:hAnsi="仿宋_GB2312" w:eastAsia="仿宋_GB2312" w:cs="仿宋_GB2312"/>
          <w:color w:val="auto"/>
          <w:sz w:val="32"/>
          <w:szCs w:val="32"/>
          <w:lang w:val="zh-CN" w:eastAsia="zh-CN"/>
        </w:rPr>
        <w:t>家后对投标文件进行符合性审查，</w:t>
      </w:r>
      <w:r>
        <w:rPr>
          <w:rFonts w:hint="eastAsia" w:ascii="仿宋_GB2312" w:hAnsi="仿宋_GB2312" w:eastAsia="仿宋_GB2312" w:cs="仿宋_GB2312"/>
          <w:color w:val="auto"/>
          <w:sz w:val="32"/>
          <w:szCs w:val="32"/>
          <w:lang w:val="en-US" w:eastAsia="zh-CN"/>
        </w:rPr>
        <w:t>少于三家则本次评标过程无效</w:t>
      </w:r>
      <w:r>
        <w:rPr>
          <w:rFonts w:hint="eastAsia" w:ascii="仿宋_GB2312" w:hAnsi="仿宋_GB2312" w:eastAsia="仿宋_GB2312" w:cs="仿宋_GB2312"/>
          <w:color w:val="auto"/>
          <w:sz w:val="32"/>
          <w:szCs w:val="32"/>
          <w:lang w:val="zh-CN" w:eastAsia="zh-CN"/>
        </w:rPr>
        <w:t>。</w:t>
      </w:r>
    </w:p>
    <w:p w14:paraId="2DAB66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二、评审</w:t>
      </w:r>
    </w:p>
    <w:p w14:paraId="09F58F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（一）评审方法</w:t>
      </w:r>
    </w:p>
    <w:p w14:paraId="14797E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本项目采用综合评分法。总分为 100 分。</w:t>
      </w:r>
    </w:p>
    <w:p w14:paraId="6C347C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（二）评分办法</w:t>
      </w:r>
    </w:p>
    <w:tbl>
      <w:tblPr>
        <w:tblStyle w:val="1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10F0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jc w:val="center"/>
        </w:trPr>
        <w:tc>
          <w:tcPr>
            <w:tcW w:w="2913" w:type="dxa"/>
            <w:vAlign w:val="center"/>
          </w:tcPr>
          <w:p w14:paraId="6E480701">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分值构成</w:t>
            </w:r>
          </w:p>
          <w:p w14:paraId="332F293D">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(总分100分)</w:t>
            </w:r>
          </w:p>
        </w:tc>
        <w:tc>
          <w:tcPr>
            <w:tcW w:w="6786" w:type="dxa"/>
            <w:vAlign w:val="center"/>
          </w:tcPr>
          <w:p w14:paraId="79535A2F">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投标报价：30 分 </w:t>
            </w:r>
          </w:p>
          <w:p w14:paraId="73778C94">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监理大纲：30 分 </w:t>
            </w:r>
          </w:p>
          <w:p w14:paraId="4AA463CC">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资信业绩：37 分 </w:t>
            </w:r>
          </w:p>
          <w:p w14:paraId="60CEAF32">
            <w:pPr>
              <w:widowControl/>
              <w:adjustRightInd w:val="0"/>
              <w:snapToGrid w:val="0"/>
              <w:spacing w:line="276" w:lineRule="auto"/>
              <w:jc w:val="left"/>
              <w:rPr>
                <w:rFonts w:hint="eastAsia"/>
                <w:lang w:val="en-US"/>
              </w:rPr>
            </w:pPr>
            <w:r>
              <w:rPr>
                <w:rFonts w:hint="eastAsia" w:ascii="仿宋_GB2312" w:hAnsi="仿宋_GB2312" w:eastAsia="仿宋_GB2312" w:cs="仿宋_GB2312"/>
                <w:sz w:val="32"/>
                <w:szCs w:val="32"/>
                <w:lang w:val="zh-CN"/>
              </w:rPr>
              <w:t>其他因素：3 分</w:t>
            </w:r>
          </w:p>
        </w:tc>
      </w:tr>
      <w:tr w14:paraId="6740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4235914B">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评审项</w:t>
            </w:r>
          </w:p>
        </w:tc>
        <w:tc>
          <w:tcPr>
            <w:tcW w:w="6786" w:type="dxa"/>
            <w:tcMar>
              <w:top w:w="0" w:type="dxa"/>
              <w:left w:w="0" w:type="dxa"/>
              <w:bottom w:w="0" w:type="dxa"/>
              <w:right w:w="0" w:type="dxa"/>
            </w:tcMar>
            <w:vAlign w:val="center"/>
          </w:tcPr>
          <w:p w14:paraId="4414B08B">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评标标准</w:t>
            </w:r>
          </w:p>
        </w:tc>
      </w:tr>
      <w:tr w14:paraId="362E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26035C9B">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投标报价</w:t>
            </w:r>
          </w:p>
          <w:p w14:paraId="70A580A7">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（30分）</w:t>
            </w:r>
          </w:p>
        </w:tc>
        <w:tc>
          <w:tcPr>
            <w:tcW w:w="6786" w:type="dxa"/>
            <w:tcMar>
              <w:top w:w="0" w:type="dxa"/>
              <w:left w:w="0" w:type="dxa"/>
              <w:bottom w:w="0" w:type="dxa"/>
              <w:right w:w="0" w:type="dxa"/>
            </w:tcMar>
            <w:vAlign w:val="center"/>
          </w:tcPr>
          <w:p w14:paraId="45B36705">
            <w:pPr>
              <w:numPr>
                <w:ilvl w:val="0"/>
                <w:numId w:val="1"/>
              </w:numPr>
              <w:jc w:val="both"/>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投标报价高于控制价的为无效报价；</w:t>
            </w:r>
          </w:p>
          <w:p w14:paraId="6BE71AAC">
            <w:pPr>
              <w:numPr>
                <w:ilvl w:val="0"/>
                <w:numId w:val="1"/>
              </w:numPr>
              <w:ind w:left="0" w:leftChars="0" w:firstLine="0" w:firstLineChars="0"/>
              <w:jc w:val="both"/>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所有参与的比选申请人最低的有效报价为基准报价；</w:t>
            </w:r>
          </w:p>
          <w:p w14:paraId="2DC7F2EB">
            <w:pPr>
              <w:numPr>
                <w:ilvl w:val="0"/>
                <w:numId w:val="0"/>
              </w:numPr>
              <w:ind w:leftChars="0"/>
              <w:jc w:val="both"/>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3.报价得分=（基准报价/报价）×30分。</w:t>
            </w:r>
          </w:p>
        </w:tc>
      </w:tr>
      <w:tr w14:paraId="67D2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400603C2">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监理大纲</w:t>
            </w:r>
          </w:p>
          <w:p w14:paraId="788E25E2">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分）</w:t>
            </w:r>
          </w:p>
        </w:tc>
        <w:tc>
          <w:tcPr>
            <w:tcW w:w="6786" w:type="dxa"/>
            <w:tcMar>
              <w:top w:w="0" w:type="dxa"/>
              <w:left w:w="0" w:type="dxa"/>
              <w:bottom w:w="0" w:type="dxa"/>
              <w:right w:w="0" w:type="dxa"/>
            </w:tcMar>
            <w:vAlign w:val="center"/>
          </w:tcPr>
          <w:p w14:paraId="248CF83E">
            <w:pPr>
              <w:widowControl/>
              <w:numPr>
                <w:ilvl w:val="0"/>
                <w:numId w:val="0"/>
              </w:numPr>
              <w:adjustRightInd w:val="0"/>
              <w:snapToGrid w:val="0"/>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质量控制：总体质量控制目标满足招标文件要求，且对质量控制目标进行了合理分解、规划（0-6分）； </w:t>
            </w:r>
          </w:p>
          <w:p w14:paraId="35EB1A3B">
            <w:pPr>
              <w:widowControl/>
              <w:numPr>
                <w:ilvl w:val="0"/>
                <w:numId w:val="0"/>
              </w:numPr>
              <w:adjustRightInd w:val="0"/>
              <w:snapToGrid w:val="0"/>
              <w:spacing w:line="276" w:lineRule="auto"/>
              <w:ind w:left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进度控制：对总体进度目标分解合理，能体现预控和全面控制能力（0-6分）；</w:t>
            </w:r>
          </w:p>
          <w:p w14:paraId="4A75F734">
            <w:pPr>
              <w:widowControl/>
              <w:numPr>
                <w:ilvl w:val="0"/>
                <w:numId w:val="0"/>
              </w:numPr>
              <w:adjustRightInd w:val="0"/>
              <w:snapToGrid w:val="0"/>
              <w:spacing w:line="276" w:lineRule="auto"/>
              <w:ind w:left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安全措施：安全控制措施周密，安全控制手段合理（0-6分）；</w:t>
            </w:r>
          </w:p>
          <w:p w14:paraId="14848B37">
            <w:pPr>
              <w:widowControl/>
              <w:numPr>
                <w:ilvl w:val="0"/>
                <w:numId w:val="0"/>
              </w:numPr>
              <w:adjustRightInd w:val="0"/>
              <w:snapToGrid w:val="0"/>
              <w:spacing w:line="276" w:lineRule="auto"/>
              <w:ind w:left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档案及合同管理：工程档案管理措施切实可行，并设置专职人员进行管理（0-6分）；</w:t>
            </w:r>
          </w:p>
          <w:p w14:paraId="6B1BB130">
            <w:pPr>
              <w:widowControl/>
              <w:numPr>
                <w:ilvl w:val="0"/>
                <w:numId w:val="0"/>
              </w:numPr>
              <w:adjustRightInd w:val="0"/>
              <w:snapToGrid w:val="0"/>
              <w:spacing w:line="276" w:lineRule="auto"/>
              <w:ind w:leftChars="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工作制度：根据验收制度、签证制度、会议制度、公司对项目监理机构的监控制度、季报(月报)制度、公司对项目监理机构的奖惩考核制度等各项制度健全完善情况，酌情打分（0-6分）</w:t>
            </w:r>
            <w:r>
              <w:rPr>
                <w:rFonts w:hint="eastAsia" w:ascii="仿宋_GB2312" w:hAnsi="仿宋_GB2312" w:eastAsia="仿宋_GB2312" w:cs="仿宋_GB2312"/>
                <w:sz w:val="32"/>
                <w:szCs w:val="32"/>
                <w:lang w:eastAsia="zh-CN"/>
              </w:rPr>
              <w:t>。</w:t>
            </w:r>
          </w:p>
        </w:tc>
      </w:tr>
      <w:tr w14:paraId="78D0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2913" w:type="dxa"/>
            <w:tcMar>
              <w:top w:w="0" w:type="dxa"/>
              <w:left w:w="0" w:type="dxa"/>
              <w:bottom w:w="0" w:type="dxa"/>
              <w:right w:w="0" w:type="dxa"/>
            </w:tcMar>
            <w:vAlign w:val="center"/>
          </w:tcPr>
          <w:p w14:paraId="78AB74F7">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资信业绩</w:t>
            </w:r>
          </w:p>
          <w:p w14:paraId="65E01F51">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（37分）</w:t>
            </w:r>
          </w:p>
        </w:tc>
        <w:tc>
          <w:tcPr>
            <w:tcW w:w="6786" w:type="dxa"/>
            <w:tcMar>
              <w:top w:w="0" w:type="dxa"/>
              <w:left w:w="0" w:type="dxa"/>
              <w:bottom w:w="0" w:type="dxa"/>
              <w:right w:w="0" w:type="dxa"/>
            </w:tcMar>
            <w:vAlign w:val="center"/>
          </w:tcPr>
          <w:p w14:paraId="6AC190D6">
            <w:pPr>
              <w:widowControl/>
              <w:numPr>
                <w:ilvl w:val="0"/>
                <w:numId w:val="0"/>
              </w:numPr>
              <w:adjustRightInd w:val="0"/>
              <w:snapToGrid w:val="0"/>
              <w:spacing w:line="276" w:lineRule="auto"/>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1.企业业绩：自2023年1月1日以来，投标人具有类似市政项目业绩的，每项得5分，最高得15分。时间以合同签订时间为准，需提供中标通知书、合同协议书复印件及公示网页版截图。</w:t>
            </w:r>
          </w:p>
          <w:p w14:paraId="38C6F97A">
            <w:pPr>
              <w:widowControl/>
              <w:numPr>
                <w:ilvl w:val="0"/>
                <w:numId w:val="0"/>
              </w:numPr>
              <w:adjustRightInd w:val="0"/>
              <w:snapToGrid w:val="0"/>
              <w:spacing w:line="276" w:lineRule="auto"/>
              <w:ind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企业荣誉：自2023年1月1日以来获得过省级及以上优秀工程监理企业（诚信建设先进企业）奖项得5分；市级的得3分，本项最高得15分。时间以证书日期为准，以关于获奖项目通知的红头文件及证书的原件扫描件（或图片）为准；同一项目不同获奖不重复计分。</w:t>
            </w:r>
          </w:p>
          <w:p w14:paraId="36D4D151">
            <w:pPr>
              <w:widowControl/>
              <w:numPr>
                <w:ilvl w:val="0"/>
                <w:numId w:val="0"/>
              </w:numPr>
              <w:adjustRightInd w:val="0"/>
              <w:snapToGrid w:val="0"/>
              <w:spacing w:line="276" w:lineRule="auto"/>
              <w:ind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监理机构人员配备：（1）投标人拟派项目监理机构人员，须包括项目负责人(总监理工程师)、总监理工程师代表、专业监理工程师、造价工程师、监理员、安全员、见证员、资料员等专职人员配备齐全得2分，缺项不得分；（2）投标人拟派项目监理机构中除项目负责人(总监理 工程师) 以外的其他人员，每具备一名高级工程师的得1 分，本项最高得3分；（3）投标人拟派项目监理机构人员具有注册安全工程师的得2分，本项最高得2分。</w:t>
            </w:r>
          </w:p>
          <w:p w14:paraId="24621DC7">
            <w:pPr>
              <w:widowControl/>
              <w:numPr>
                <w:ilvl w:val="0"/>
                <w:numId w:val="0"/>
              </w:numPr>
              <w:adjustRightInd w:val="0"/>
              <w:snapToGrid w:val="0"/>
              <w:spacing w:line="276" w:lineRule="auto"/>
              <w:ind w:leftChars="0"/>
              <w:jc w:val="both"/>
              <w:rPr>
                <w:rFonts w:hint="eastAsia"/>
                <w:lang w:val="zh-CN"/>
              </w:rPr>
            </w:pPr>
            <w:r>
              <w:rPr>
                <w:rFonts w:hint="eastAsia" w:ascii="仿宋_GB2312" w:hAnsi="仿宋_GB2312" w:eastAsia="仿宋_GB2312" w:cs="仿宋_GB2312"/>
                <w:sz w:val="32"/>
                <w:szCs w:val="32"/>
                <w:lang w:val="en-US" w:eastAsia="zh-CN"/>
              </w:rPr>
              <w:t>注：投标文件中须附项目监理机构人员相关证书的复印件，不提供者不得分。</w:t>
            </w:r>
          </w:p>
        </w:tc>
      </w:tr>
      <w:tr w14:paraId="4D43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2" w:hRule="atLeast"/>
          <w:jc w:val="center"/>
        </w:trPr>
        <w:tc>
          <w:tcPr>
            <w:tcW w:w="2913" w:type="dxa"/>
            <w:tcMar>
              <w:top w:w="0" w:type="dxa"/>
              <w:left w:w="0" w:type="dxa"/>
              <w:bottom w:w="0" w:type="dxa"/>
              <w:right w:w="0" w:type="dxa"/>
            </w:tcMar>
            <w:vAlign w:val="center"/>
          </w:tcPr>
          <w:p w14:paraId="1FCFD0D6">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其他因素</w:t>
            </w:r>
          </w:p>
          <w:p w14:paraId="0AFED2F2">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（3分）</w:t>
            </w:r>
          </w:p>
        </w:tc>
        <w:tc>
          <w:tcPr>
            <w:tcW w:w="6786" w:type="dxa"/>
            <w:tcMar>
              <w:top w:w="0" w:type="dxa"/>
              <w:left w:w="0" w:type="dxa"/>
              <w:bottom w:w="0" w:type="dxa"/>
              <w:right w:w="0" w:type="dxa"/>
            </w:tcMar>
            <w:vAlign w:val="center"/>
          </w:tcPr>
          <w:p w14:paraId="3830490B">
            <w:pPr>
              <w:keepNext w:val="0"/>
              <w:keepLines w:val="0"/>
              <w:pageBreakBefore w:val="0"/>
              <w:widowControl w:val="0"/>
              <w:numPr>
                <w:ilvl w:val="0"/>
                <w:numId w:val="0"/>
              </w:numPr>
              <w:kinsoku/>
              <w:wordWrap/>
              <w:overflowPunct/>
              <w:topLinePunct w:val="0"/>
              <w:autoSpaceDE/>
              <w:autoSpaceDN/>
              <w:bidi w:val="0"/>
              <w:adjustRightInd/>
              <w:snapToGrid/>
              <w:spacing w:line="470" w:lineRule="exac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 xml:space="preserve">服务承诺：投标人对以下事项进行承诺，每具有一项得 1分，没有承诺的不得分； 须包含但不限于： </w:t>
            </w:r>
          </w:p>
          <w:p w14:paraId="622C0858">
            <w:pPr>
              <w:keepNext w:val="0"/>
              <w:keepLines w:val="0"/>
              <w:pageBreakBefore w:val="0"/>
              <w:widowControl w:val="0"/>
              <w:numPr>
                <w:ilvl w:val="0"/>
                <w:numId w:val="2"/>
              </w:numPr>
              <w:kinsoku/>
              <w:wordWrap/>
              <w:overflowPunct/>
              <w:topLinePunct w:val="0"/>
              <w:autoSpaceDE/>
              <w:autoSpaceDN/>
              <w:bidi w:val="0"/>
              <w:adjustRightInd/>
              <w:snapToGrid/>
              <w:spacing w:line="470" w:lineRule="exac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项目班子成员服务管理承诺(1分)；</w:t>
            </w:r>
          </w:p>
          <w:p w14:paraId="057B71AD">
            <w:pPr>
              <w:keepNext w:val="0"/>
              <w:keepLines w:val="0"/>
              <w:pageBreakBefore w:val="0"/>
              <w:widowControl w:val="0"/>
              <w:numPr>
                <w:ilvl w:val="0"/>
                <w:numId w:val="2"/>
              </w:numPr>
              <w:kinsoku/>
              <w:wordWrap/>
              <w:overflowPunct/>
              <w:topLinePunct w:val="0"/>
              <w:autoSpaceDE/>
              <w:autoSpaceDN/>
              <w:bidi w:val="0"/>
              <w:adjustRightInd/>
              <w:snapToGrid/>
              <w:spacing w:line="470" w:lineRule="exac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 xml:space="preserve">质量、进度、安全、环保等承诺(1分)； </w:t>
            </w:r>
          </w:p>
          <w:p w14:paraId="21CF6A61">
            <w:pPr>
              <w:keepNext w:val="0"/>
              <w:keepLines w:val="0"/>
              <w:pageBreakBefore w:val="0"/>
              <w:widowControl w:val="0"/>
              <w:numPr>
                <w:ilvl w:val="0"/>
                <w:numId w:val="2"/>
              </w:numPr>
              <w:kinsoku/>
              <w:wordWrap/>
              <w:overflowPunct/>
              <w:topLinePunct w:val="0"/>
              <w:autoSpaceDE/>
              <w:autoSpaceDN/>
              <w:bidi w:val="0"/>
              <w:adjustRightInd/>
              <w:snapToGrid/>
              <w:spacing w:line="470" w:lineRule="exact"/>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项目现场常驻监理人员不少于3人的承诺(1分)。</w:t>
            </w:r>
          </w:p>
          <w:p w14:paraId="11CA2927">
            <w:pPr>
              <w:adjustRightInd w:val="0"/>
              <w:snapToGrid w:val="0"/>
              <w:spacing w:line="276" w:lineRule="auto"/>
              <w:jc w:val="left"/>
              <w:rPr>
                <w:rFonts w:hint="default"/>
                <w:color w:val="auto"/>
                <w:lang w:val="en-US" w:eastAsia="zh-CN"/>
              </w:rPr>
            </w:pPr>
          </w:p>
        </w:tc>
      </w:tr>
    </w:tbl>
    <w:p w14:paraId="2584064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val="zh-CN" w:eastAsia="zh-CN"/>
        </w:rPr>
        <w:t>）推荐</w:t>
      </w:r>
      <w:r>
        <w:rPr>
          <w:rFonts w:hint="eastAsia" w:ascii="仿宋_GB2312" w:hAnsi="仿宋_GB2312" w:eastAsia="仿宋_GB2312" w:cs="仿宋_GB2312"/>
          <w:b/>
          <w:bCs/>
          <w:sz w:val="32"/>
          <w:szCs w:val="32"/>
          <w:lang w:val="en-US" w:eastAsia="zh-CN"/>
        </w:rPr>
        <w:t>中标</w:t>
      </w:r>
      <w:r>
        <w:rPr>
          <w:rFonts w:hint="eastAsia" w:ascii="仿宋_GB2312" w:hAnsi="仿宋_GB2312" w:eastAsia="仿宋_GB2312" w:cs="仿宋_GB2312"/>
          <w:b/>
          <w:bCs/>
          <w:sz w:val="32"/>
          <w:szCs w:val="32"/>
          <w:lang w:val="zh-CN" w:eastAsia="zh-CN"/>
        </w:rPr>
        <w:t>候选人</w:t>
      </w:r>
    </w:p>
    <w:p w14:paraId="1D306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lang w:eastAsia="zh-CN"/>
        </w:rPr>
        <w:t>评审小组根据综合评分情况，按照评审得分由高到低顺序推荐1名中标候选人。如最高得分为两家或两家以上时，由采购人组成的磋商小组进行磋商确定</w:t>
      </w:r>
      <w:r>
        <w:rPr>
          <w:rFonts w:hint="eastAsia" w:ascii="仿宋" w:hAnsi="仿宋" w:eastAsia="仿宋" w:cs="仿宋"/>
          <w:sz w:val="32"/>
          <w:szCs w:val="32"/>
          <w:highlight w:val="none"/>
          <w:lang w:val="en-US" w:eastAsia="zh-CN"/>
        </w:rPr>
        <w:t>。</w:t>
      </w:r>
    </w:p>
    <w:p w14:paraId="6AA505C1">
      <w:pPr>
        <w:pStyle w:val="12"/>
        <w:spacing w:before="100" w:after="100"/>
        <w:ind w:left="0" w:leftChars="0" w:firstLine="0" w:firstLineChars="0"/>
        <w:rPr>
          <w:rFonts w:hint="eastAsia" w:ascii="仿宋" w:hAnsi="仿宋" w:eastAsia="仿宋" w:cs="仿宋"/>
          <w:sz w:val="32"/>
          <w:szCs w:val="32"/>
          <w:highlight w:val="none"/>
          <w:lang w:val="en-US" w:eastAsia="zh-CN"/>
        </w:rPr>
      </w:pPr>
    </w:p>
    <w:p w14:paraId="161CE001">
      <w:pPr>
        <w:pStyle w:val="12"/>
        <w:spacing w:before="100" w:after="100"/>
        <w:ind w:left="0" w:leftChars="0" w:firstLine="0" w:firstLineChars="0"/>
        <w:rPr>
          <w:rFonts w:hint="eastAsia" w:ascii="仿宋" w:hAnsi="仿宋" w:eastAsia="仿宋" w:cs="仿宋"/>
          <w:sz w:val="32"/>
          <w:szCs w:val="32"/>
          <w:highlight w:val="none"/>
          <w:lang w:val="en-US" w:eastAsia="zh-CN"/>
        </w:rPr>
      </w:pPr>
    </w:p>
    <w:p w14:paraId="177F1BAB">
      <w:pPr>
        <w:pStyle w:val="12"/>
        <w:spacing w:before="100" w:after="100"/>
        <w:ind w:left="0" w:leftChars="0" w:firstLine="0" w:firstLineChars="0"/>
        <w:rPr>
          <w:rFonts w:hint="eastAsia" w:ascii="仿宋" w:hAnsi="仿宋" w:eastAsia="仿宋" w:cs="仿宋"/>
          <w:sz w:val="32"/>
          <w:szCs w:val="32"/>
          <w:highlight w:val="none"/>
          <w:lang w:val="en-US" w:eastAsia="zh-CN"/>
        </w:rPr>
      </w:pPr>
    </w:p>
    <w:p w14:paraId="7F9659EB">
      <w:pPr>
        <w:pStyle w:val="12"/>
        <w:spacing w:before="100" w:after="100"/>
        <w:ind w:left="0" w:leftChars="0" w:firstLine="0" w:firstLineChars="0"/>
        <w:rPr>
          <w:rFonts w:hint="eastAsia" w:ascii="仿宋" w:hAnsi="仿宋" w:eastAsia="仿宋" w:cs="仿宋"/>
          <w:sz w:val="32"/>
          <w:szCs w:val="32"/>
          <w:highlight w:val="none"/>
          <w:lang w:val="en-US" w:eastAsia="zh-CN"/>
        </w:rPr>
      </w:pPr>
    </w:p>
    <w:p w14:paraId="1D840E5A">
      <w:pPr>
        <w:pStyle w:val="12"/>
        <w:spacing w:before="100" w:after="100"/>
        <w:ind w:left="0" w:leftChars="0" w:firstLine="0" w:firstLineChars="0"/>
        <w:rPr>
          <w:rFonts w:hint="eastAsia" w:ascii="仿宋" w:hAnsi="仿宋" w:eastAsia="仿宋" w:cs="仿宋"/>
          <w:sz w:val="32"/>
          <w:szCs w:val="32"/>
          <w:highlight w:val="none"/>
          <w:lang w:val="en-US" w:eastAsia="zh-CN"/>
        </w:rPr>
      </w:pPr>
    </w:p>
    <w:p w14:paraId="2E8C915F">
      <w:pPr>
        <w:pStyle w:val="12"/>
        <w:spacing w:before="100" w:after="100"/>
        <w:ind w:left="0" w:leftChars="0" w:firstLine="0" w:firstLineChars="0"/>
        <w:rPr>
          <w:rFonts w:hint="default" w:eastAsia="仿宋_GB2312"/>
          <w:sz w:val="32"/>
          <w:szCs w:val="32"/>
          <w:lang w:eastAsia="zh-CN"/>
        </w:rPr>
      </w:pPr>
      <w:r>
        <w:rPr>
          <w:rFonts w:hint="eastAsia" w:ascii="仿宋" w:hAnsi="仿宋" w:eastAsia="仿宋" w:cs="仿宋"/>
          <w:sz w:val="32"/>
          <w:szCs w:val="32"/>
          <w:highlight w:val="none"/>
          <w:lang w:val="en-US" w:eastAsia="zh-CN"/>
        </w:rPr>
        <w:t>附件3：</w:t>
      </w:r>
    </w:p>
    <w:p w14:paraId="3FE68D1E">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w:t>
      </w:r>
      <w:r>
        <w:rPr>
          <w:rFonts w:hint="eastAsia" w:ascii="方正小标宋简体" w:hAnsi="方正小标宋简体" w:eastAsia="方正小标宋简体" w:cs="方正小标宋简体"/>
          <w:sz w:val="44"/>
          <w:szCs w:val="44"/>
          <w:lang w:val="en-US" w:eastAsia="zh-CN"/>
        </w:rPr>
        <w:t>自</w:t>
      </w:r>
      <w:r>
        <w:rPr>
          <w:rFonts w:hint="eastAsia" w:ascii="方正小标宋简体" w:hAnsi="方正小标宋简体" w:eastAsia="方正小标宋简体" w:cs="方正小标宋简体"/>
          <w:sz w:val="44"/>
          <w:szCs w:val="44"/>
        </w:rPr>
        <w:t>律承诺书</w:t>
      </w:r>
    </w:p>
    <w:p w14:paraId="0C59F5DD">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14:paraId="6477B238">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公司</w:t>
      </w:r>
    </w:p>
    <w:p w14:paraId="0295E6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为维护公平竞争的市场环境，确保经济活动的廉洁性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合法性和透明度，防止任何形式的不正当交易及腐败行为，</w:t>
      </w:r>
      <w:r>
        <w:rPr>
          <w:rFonts w:hint="eastAsia" w:ascii="仿宋_GB2312" w:hAnsi="仿宋_GB2312" w:eastAsia="仿宋_GB2312" w:cs="仿宋_GB2312"/>
          <w:color w:val="auto"/>
          <w:sz w:val="32"/>
          <w:szCs w:val="32"/>
          <w:lang w:val="en-US" w:eastAsia="zh-CN"/>
        </w:rPr>
        <w:t>我单位作为投标人，郑重</w:t>
      </w:r>
      <w:r>
        <w:rPr>
          <w:rFonts w:hint="eastAsia" w:ascii="仿宋_GB2312" w:hAnsi="仿宋_GB2312" w:eastAsia="仿宋_GB2312" w:cs="仿宋_GB2312"/>
          <w:color w:val="auto"/>
          <w:sz w:val="32"/>
          <w:szCs w:val="32"/>
        </w:rPr>
        <w:t>承诺</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14:paraId="7F63C4FF">
      <w:pPr>
        <w:pStyle w:val="15"/>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严格遵守国家及地方关于招投标、市场竞争的相关法律法规，不使用不正当手段妨碍、排挤相关投标单位或串通投标</w:t>
      </w:r>
      <w:r>
        <w:rPr>
          <w:rFonts w:hint="eastAsia" w:ascii="仿宋_GB2312" w:hAnsi="仿宋_GB2312" w:eastAsia="仿宋_GB2312" w:cs="仿宋_GB2312"/>
          <w:color w:val="auto"/>
          <w:sz w:val="32"/>
          <w:szCs w:val="32"/>
          <w:lang w:eastAsia="zh-CN"/>
        </w:rPr>
        <w:t>。</w:t>
      </w:r>
    </w:p>
    <w:p w14:paraId="3A82C910">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2.不以任何形式(包括但不限于现金、礼品、有价证券回扣、佣金、提供旅游、娱乐活动等)向招标人员、评标专家或其他</w:t>
      </w:r>
      <w:r>
        <w:rPr>
          <w:rFonts w:hint="eastAsia" w:ascii="仿宋_GB2312" w:hAnsi="仿宋_GB2312" w:eastAsia="仿宋_GB2312" w:cs="仿宋_GB2312"/>
          <w:color w:val="auto"/>
          <w:sz w:val="32"/>
          <w:szCs w:val="32"/>
          <w:lang w:val="en-US" w:eastAsia="zh-CN"/>
        </w:rPr>
        <w:t>利害关系方</w:t>
      </w:r>
      <w:r>
        <w:rPr>
          <w:rFonts w:hint="eastAsia" w:ascii="仿宋_GB2312" w:hAnsi="仿宋_GB2312" w:eastAsia="仿宋_GB2312" w:cs="仿宋_GB2312"/>
          <w:color w:val="auto"/>
          <w:sz w:val="32"/>
          <w:szCs w:val="32"/>
        </w:rPr>
        <w:t>进行贿赂或给予不正当利益。</w:t>
      </w:r>
    </w:p>
    <w:p w14:paraId="0038F46D">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3.不进行任何可能影响招标公平、公正的活动或尝试干预评标过程。</w:t>
      </w:r>
    </w:p>
    <w:p w14:paraId="0C5BDD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如违反上述承诺，我单位愿意接受包括但不限于取消投标资格、中标无效、列入不良行为记录名单等，给招标单位造成损失的，依法承担赔偿责任。</w:t>
      </w:r>
    </w:p>
    <w:p w14:paraId="5370EDF8">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特此承诺。</w:t>
      </w:r>
    </w:p>
    <w:p w14:paraId="466F5FC5">
      <w:pPr>
        <w:ind w:firstLine="6400" w:firstLineChars="2000"/>
        <w:rPr>
          <w:rFonts w:hint="eastAsia" w:ascii="仿宋_GB2312" w:hAnsi="仿宋_GB2312" w:eastAsia="仿宋_GB2312" w:cs="仿宋_GB2312"/>
          <w:sz w:val="32"/>
          <w:szCs w:val="32"/>
        </w:rPr>
      </w:pPr>
    </w:p>
    <w:p w14:paraId="53249F06">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322375C1">
      <w:pPr>
        <w:ind w:firstLine="4160" w:firstLineChars="13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日期:</w:t>
      </w:r>
    </w:p>
    <w:p w14:paraId="624CC397"/>
    <w:p w14:paraId="5DCBBBB6"/>
    <w:p w14:paraId="738E7A53">
      <w:pPr>
        <w:pStyle w:val="12"/>
        <w:spacing w:before="100" w:after="100"/>
        <w:ind w:left="0" w:leftChars="0"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附件4：</w:t>
      </w:r>
    </w:p>
    <w:p w14:paraId="28C70B1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jc w:val="center"/>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ascii="方正小标宋简体" w:hAnsi="方正小标宋简体" w:eastAsia="方正小标宋简体" w:cs="方正小标宋简体"/>
          <w:sz w:val="44"/>
          <w:szCs w:val="44"/>
          <w:lang w:val="en-US" w:eastAsia="zh-CN"/>
        </w:rPr>
        <w:t>合同费用支付主要条款</w:t>
      </w:r>
    </w:p>
    <w:p w14:paraId="68D2A1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640" w:firstLineChars="200"/>
        <w:jc w:val="both"/>
        <w:textAlignment w:val="auto"/>
        <w:outlineLvl w:val="9"/>
        <w:rPr>
          <w:rFonts w:hint="eastAsia" w:ascii="Times New Roman" w:hAnsi="Times New Roman" w:eastAsia="仿宋_GB2312" w:cs="Times New Roman"/>
          <w:color w:val="auto"/>
          <w:sz w:val="32"/>
          <w:szCs w:val="32"/>
          <w:highlight w:val="none"/>
          <w:lang w:val="en-US" w:eastAsia="zh-CN"/>
        </w:rPr>
      </w:pPr>
    </w:p>
    <w:p w14:paraId="148A4DA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highlight w:val="none"/>
          <w:lang w:val="en-US" w:eastAsia="zh-CN"/>
        </w:rPr>
        <w:t>施工过程中根据工程形象进度支付施工单位工程款时，</w:t>
      </w:r>
      <w:r>
        <w:rPr>
          <w:rFonts w:hint="eastAsia" w:ascii="Times New Roman" w:hAnsi="Times New Roman" w:eastAsia="仿宋_GB2312" w:cs="Times New Roman"/>
          <w:sz w:val="32"/>
          <w:szCs w:val="32"/>
          <w:lang w:val="en-US" w:eastAsia="zh-CN"/>
        </w:rPr>
        <w:t>按照本工程监理服务费占建安工程费比例同比例计量监理服务费，支付金额按下面公式计算：监理服务费=计量建安工程费*监理服务费占建安工程费比例*80%；竣工验收合格后，监理服务费支付金额至合同价的90%；项目结算评审完成后，监理服务费结算支付至合同价*97%；剩余3%监理服务费结算金额作为质量保证金（质量保证金不计利息），缺陷责任期满后支付。</w:t>
      </w:r>
    </w:p>
    <w:p w14:paraId="5BBAD3C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sz w:val="32"/>
          <w:szCs w:val="32"/>
          <w:highlight w:val="none"/>
          <w:lang w:val="en-US" w:eastAsia="zh-CN"/>
        </w:rPr>
        <w:t>每次付款前需向发包人提供对应金额的</w:t>
      </w:r>
      <w:r>
        <w:rPr>
          <w:rFonts w:hint="default" w:ascii="Times New Roman" w:hAnsi="Times New Roman" w:eastAsia="仿宋_GB2312" w:cs="Times New Roman"/>
          <w:sz w:val="32"/>
          <w:szCs w:val="32"/>
          <w:lang w:val="en-US" w:eastAsia="zh-CN"/>
        </w:rPr>
        <w:t>符合财务要求的增值税专用发票，否则发包人有权拒绝付款且不承担任何违约责任。</w:t>
      </w:r>
    </w:p>
    <w:p w14:paraId="63BAB55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履约保证金数额为中标合同金额的10%，合同签订后10日内办理完成。</w:t>
      </w:r>
    </w:p>
    <w:p w14:paraId="032A881A">
      <w:pPr>
        <w:pStyle w:val="12"/>
        <w:spacing w:before="100" w:after="100"/>
        <w:ind w:left="0" w:leftChars="0" w:firstLine="0" w:firstLineChars="0"/>
        <w:rPr>
          <w:rFonts w:hint="default" w:ascii="仿宋" w:hAnsi="仿宋" w:eastAsia="仿宋" w:cs="仿宋"/>
          <w:sz w:val="32"/>
          <w:szCs w:val="32"/>
          <w:highlight w:val="none"/>
          <w:lang w:val="en-US" w:eastAsia="zh-CN"/>
        </w:rPr>
      </w:pPr>
    </w:p>
    <w:p w14:paraId="34DF73C9"/>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7A99EED8-1510-4E0F-A170-8D654421A994}"/>
  </w:font>
  <w:font w:name="方正小标宋简体">
    <w:panose1 w:val="03000509000000000000"/>
    <w:charset w:val="86"/>
    <w:family w:val="auto"/>
    <w:pitch w:val="default"/>
    <w:sig w:usb0="00000001" w:usb1="080E0000" w:usb2="00000000" w:usb3="00000000" w:csb0="00040000" w:csb1="00000000"/>
    <w:embedRegular r:id="rId2" w:fontKey="{13F11494-165B-47B0-B8AC-C1C8D759B7F3}"/>
  </w:font>
  <w:font w:name="仿宋">
    <w:panose1 w:val="02010609060101010101"/>
    <w:charset w:val="86"/>
    <w:family w:val="auto"/>
    <w:pitch w:val="default"/>
    <w:sig w:usb0="800002BF" w:usb1="38CF7CFA" w:usb2="00000016" w:usb3="00000000" w:csb0="00040001" w:csb1="00000000"/>
    <w:embedRegular r:id="rId3" w:fontKey="{757C14D6-D177-49C9-8036-CA16E738C98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5757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FDC8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7FDC80">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0B00E1"/>
    <w:multiLevelType w:val="singleLevel"/>
    <w:tmpl w:val="9C0B00E1"/>
    <w:lvl w:ilvl="0" w:tentative="0">
      <w:start w:val="1"/>
      <w:numFmt w:val="decimal"/>
      <w:suff w:val="nothing"/>
      <w:lvlText w:val="（%1）"/>
      <w:lvlJc w:val="left"/>
    </w:lvl>
  </w:abstractNum>
  <w:abstractNum w:abstractNumId="1">
    <w:nsid w:val="0B8C0093"/>
    <w:multiLevelType w:val="singleLevel"/>
    <w:tmpl w:val="0B8C009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4766F"/>
    <w:rsid w:val="019150A2"/>
    <w:rsid w:val="01CA216C"/>
    <w:rsid w:val="01EF3980"/>
    <w:rsid w:val="022C0730"/>
    <w:rsid w:val="02447828"/>
    <w:rsid w:val="028B18FB"/>
    <w:rsid w:val="03630182"/>
    <w:rsid w:val="03B60333"/>
    <w:rsid w:val="03FD2384"/>
    <w:rsid w:val="040F67E2"/>
    <w:rsid w:val="04311D7B"/>
    <w:rsid w:val="04EC17F6"/>
    <w:rsid w:val="053E7D2E"/>
    <w:rsid w:val="05CF7D50"/>
    <w:rsid w:val="06316315"/>
    <w:rsid w:val="065169B7"/>
    <w:rsid w:val="073F6AF1"/>
    <w:rsid w:val="07837045"/>
    <w:rsid w:val="07C35693"/>
    <w:rsid w:val="07EA2C20"/>
    <w:rsid w:val="08E4766F"/>
    <w:rsid w:val="08F35052"/>
    <w:rsid w:val="09012917"/>
    <w:rsid w:val="09047D11"/>
    <w:rsid w:val="095C7FA3"/>
    <w:rsid w:val="096F5AD2"/>
    <w:rsid w:val="097A7FD3"/>
    <w:rsid w:val="09A60DC8"/>
    <w:rsid w:val="0A3B59B5"/>
    <w:rsid w:val="0B0264D2"/>
    <w:rsid w:val="0BB93035"/>
    <w:rsid w:val="0CD8573D"/>
    <w:rsid w:val="0F6A6D45"/>
    <w:rsid w:val="121865DB"/>
    <w:rsid w:val="12A6008B"/>
    <w:rsid w:val="12D06EB6"/>
    <w:rsid w:val="12DA1AE3"/>
    <w:rsid w:val="13645F7C"/>
    <w:rsid w:val="13BD35E6"/>
    <w:rsid w:val="13BD38DE"/>
    <w:rsid w:val="13E0137B"/>
    <w:rsid w:val="14DE58BA"/>
    <w:rsid w:val="16351E52"/>
    <w:rsid w:val="16AA5BFF"/>
    <w:rsid w:val="17830F1B"/>
    <w:rsid w:val="17D42FA4"/>
    <w:rsid w:val="17FB49D5"/>
    <w:rsid w:val="188E75F7"/>
    <w:rsid w:val="18F558C8"/>
    <w:rsid w:val="18F90F15"/>
    <w:rsid w:val="1954439D"/>
    <w:rsid w:val="19742C91"/>
    <w:rsid w:val="197E141A"/>
    <w:rsid w:val="1A085FD3"/>
    <w:rsid w:val="1A4E34E2"/>
    <w:rsid w:val="1A553F00"/>
    <w:rsid w:val="1A8B0292"/>
    <w:rsid w:val="1ABD4218"/>
    <w:rsid w:val="1B656D35"/>
    <w:rsid w:val="1B972C67"/>
    <w:rsid w:val="1B9735D8"/>
    <w:rsid w:val="1C790312"/>
    <w:rsid w:val="1C884B8C"/>
    <w:rsid w:val="1CB515F6"/>
    <w:rsid w:val="1D126A49"/>
    <w:rsid w:val="1D1673F4"/>
    <w:rsid w:val="1D882793"/>
    <w:rsid w:val="1E0D400B"/>
    <w:rsid w:val="1EE241F9"/>
    <w:rsid w:val="20141DB5"/>
    <w:rsid w:val="20A025BE"/>
    <w:rsid w:val="20A51982"/>
    <w:rsid w:val="210E5779"/>
    <w:rsid w:val="21102954"/>
    <w:rsid w:val="21425423"/>
    <w:rsid w:val="21A34113"/>
    <w:rsid w:val="21A954A2"/>
    <w:rsid w:val="2217240B"/>
    <w:rsid w:val="22671F9E"/>
    <w:rsid w:val="23CE2152"/>
    <w:rsid w:val="240D3AC6"/>
    <w:rsid w:val="246758CC"/>
    <w:rsid w:val="24B16B47"/>
    <w:rsid w:val="25076767"/>
    <w:rsid w:val="263170C3"/>
    <w:rsid w:val="2749750B"/>
    <w:rsid w:val="275F6D2E"/>
    <w:rsid w:val="27787DF0"/>
    <w:rsid w:val="27DC3E10"/>
    <w:rsid w:val="27EC6775"/>
    <w:rsid w:val="280A234B"/>
    <w:rsid w:val="28304227"/>
    <w:rsid w:val="28C11323"/>
    <w:rsid w:val="292C0E92"/>
    <w:rsid w:val="292C2C40"/>
    <w:rsid w:val="2BA74800"/>
    <w:rsid w:val="2BF10171"/>
    <w:rsid w:val="2C043A01"/>
    <w:rsid w:val="2D782A6B"/>
    <w:rsid w:val="2DC86CB0"/>
    <w:rsid w:val="2DE0049D"/>
    <w:rsid w:val="2E1B5BCA"/>
    <w:rsid w:val="2E4B6478"/>
    <w:rsid w:val="2E913546"/>
    <w:rsid w:val="2F283EAA"/>
    <w:rsid w:val="2F2919D0"/>
    <w:rsid w:val="301F34FF"/>
    <w:rsid w:val="327411B4"/>
    <w:rsid w:val="33114C55"/>
    <w:rsid w:val="332C1A8F"/>
    <w:rsid w:val="33501744"/>
    <w:rsid w:val="33633703"/>
    <w:rsid w:val="33E74334"/>
    <w:rsid w:val="34666BD6"/>
    <w:rsid w:val="34A57D4B"/>
    <w:rsid w:val="35040F15"/>
    <w:rsid w:val="35D46B3A"/>
    <w:rsid w:val="35E52AF5"/>
    <w:rsid w:val="36596385"/>
    <w:rsid w:val="367207C6"/>
    <w:rsid w:val="36A55DE0"/>
    <w:rsid w:val="37AC319E"/>
    <w:rsid w:val="37C64260"/>
    <w:rsid w:val="37EA43F2"/>
    <w:rsid w:val="38003C16"/>
    <w:rsid w:val="389B749B"/>
    <w:rsid w:val="38C06F01"/>
    <w:rsid w:val="390B04A7"/>
    <w:rsid w:val="39FA5C2A"/>
    <w:rsid w:val="3A021146"/>
    <w:rsid w:val="3A7206CF"/>
    <w:rsid w:val="3B135A0E"/>
    <w:rsid w:val="3BC66F24"/>
    <w:rsid w:val="3BC92571"/>
    <w:rsid w:val="3C5809F1"/>
    <w:rsid w:val="3CB1422C"/>
    <w:rsid w:val="3DDF7E2A"/>
    <w:rsid w:val="3E16027D"/>
    <w:rsid w:val="3E742C68"/>
    <w:rsid w:val="3E990920"/>
    <w:rsid w:val="3E9926CE"/>
    <w:rsid w:val="3EAD617A"/>
    <w:rsid w:val="3FB3156E"/>
    <w:rsid w:val="3FFF1345"/>
    <w:rsid w:val="40257AEB"/>
    <w:rsid w:val="40750F19"/>
    <w:rsid w:val="418036D2"/>
    <w:rsid w:val="41D00C05"/>
    <w:rsid w:val="420F2CA7"/>
    <w:rsid w:val="425C25C6"/>
    <w:rsid w:val="425F59DD"/>
    <w:rsid w:val="43346E69"/>
    <w:rsid w:val="4353542C"/>
    <w:rsid w:val="43A959FE"/>
    <w:rsid w:val="43EF2D90"/>
    <w:rsid w:val="446F7A2D"/>
    <w:rsid w:val="44733E68"/>
    <w:rsid w:val="453E5D7D"/>
    <w:rsid w:val="45B61DB8"/>
    <w:rsid w:val="45C049E4"/>
    <w:rsid w:val="46506E72"/>
    <w:rsid w:val="46BD2CD2"/>
    <w:rsid w:val="46C40F46"/>
    <w:rsid w:val="471072A6"/>
    <w:rsid w:val="48403BBB"/>
    <w:rsid w:val="48666871"/>
    <w:rsid w:val="491C63D6"/>
    <w:rsid w:val="49671123"/>
    <w:rsid w:val="499C12C5"/>
    <w:rsid w:val="4A407EA2"/>
    <w:rsid w:val="4B7047B7"/>
    <w:rsid w:val="4D113D78"/>
    <w:rsid w:val="4D16138E"/>
    <w:rsid w:val="4DF220F6"/>
    <w:rsid w:val="4E7520E4"/>
    <w:rsid w:val="4F5F526E"/>
    <w:rsid w:val="4FFF1E66"/>
    <w:rsid w:val="50715EF8"/>
    <w:rsid w:val="51314000"/>
    <w:rsid w:val="522A6CE4"/>
    <w:rsid w:val="52636E23"/>
    <w:rsid w:val="52850580"/>
    <w:rsid w:val="52A665A4"/>
    <w:rsid w:val="52D4387D"/>
    <w:rsid w:val="5328051C"/>
    <w:rsid w:val="53531EFE"/>
    <w:rsid w:val="535624E4"/>
    <w:rsid w:val="53C40DF9"/>
    <w:rsid w:val="5402266C"/>
    <w:rsid w:val="54AD25D8"/>
    <w:rsid w:val="54EB2E1F"/>
    <w:rsid w:val="55E42029"/>
    <w:rsid w:val="55F45FE4"/>
    <w:rsid w:val="56334D5F"/>
    <w:rsid w:val="574134AB"/>
    <w:rsid w:val="581B032E"/>
    <w:rsid w:val="582708F3"/>
    <w:rsid w:val="583F5C3D"/>
    <w:rsid w:val="586B6A32"/>
    <w:rsid w:val="58DE1F33"/>
    <w:rsid w:val="58FC4F69"/>
    <w:rsid w:val="5943350B"/>
    <w:rsid w:val="594352B9"/>
    <w:rsid w:val="59E051FD"/>
    <w:rsid w:val="5A513A05"/>
    <w:rsid w:val="5A5D684E"/>
    <w:rsid w:val="5AA224B3"/>
    <w:rsid w:val="5B0647F0"/>
    <w:rsid w:val="5B070568"/>
    <w:rsid w:val="5B136F0D"/>
    <w:rsid w:val="5B4B1EC1"/>
    <w:rsid w:val="5BBC0EAA"/>
    <w:rsid w:val="5C037EDF"/>
    <w:rsid w:val="5C221AFD"/>
    <w:rsid w:val="5C7659A5"/>
    <w:rsid w:val="5CC9362F"/>
    <w:rsid w:val="5CD10E2D"/>
    <w:rsid w:val="5D4A130C"/>
    <w:rsid w:val="5E3D49CC"/>
    <w:rsid w:val="5EEA6F8D"/>
    <w:rsid w:val="60196D73"/>
    <w:rsid w:val="60CE4002"/>
    <w:rsid w:val="62465E1A"/>
    <w:rsid w:val="62570809"/>
    <w:rsid w:val="627B1F67"/>
    <w:rsid w:val="628506F0"/>
    <w:rsid w:val="63275C4B"/>
    <w:rsid w:val="63FA61A4"/>
    <w:rsid w:val="651105D5"/>
    <w:rsid w:val="65501D46"/>
    <w:rsid w:val="65750EF0"/>
    <w:rsid w:val="658B25CF"/>
    <w:rsid w:val="65DC4ACB"/>
    <w:rsid w:val="67672ABA"/>
    <w:rsid w:val="67AA29A7"/>
    <w:rsid w:val="67CA4DF7"/>
    <w:rsid w:val="688431F8"/>
    <w:rsid w:val="68E87407"/>
    <w:rsid w:val="68EC771B"/>
    <w:rsid w:val="696C0215"/>
    <w:rsid w:val="69A91168"/>
    <w:rsid w:val="69AF0FBD"/>
    <w:rsid w:val="69B63885"/>
    <w:rsid w:val="6AC61BF3"/>
    <w:rsid w:val="6AEE0103"/>
    <w:rsid w:val="6B321631"/>
    <w:rsid w:val="6B785296"/>
    <w:rsid w:val="6B901CD8"/>
    <w:rsid w:val="6BA3608B"/>
    <w:rsid w:val="6C6B6BA9"/>
    <w:rsid w:val="6CA87639"/>
    <w:rsid w:val="6DFF1C9E"/>
    <w:rsid w:val="6E166FE8"/>
    <w:rsid w:val="6E2B6899"/>
    <w:rsid w:val="6E773123"/>
    <w:rsid w:val="6E7C3ECE"/>
    <w:rsid w:val="6EC92389"/>
    <w:rsid w:val="6FBE16E5"/>
    <w:rsid w:val="70967F6C"/>
    <w:rsid w:val="716562BC"/>
    <w:rsid w:val="718B3849"/>
    <w:rsid w:val="71F47640"/>
    <w:rsid w:val="723D0FE7"/>
    <w:rsid w:val="72640322"/>
    <w:rsid w:val="7309711B"/>
    <w:rsid w:val="73165394"/>
    <w:rsid w:val="733F6699"/>
    <w:rsid w:val="736600CA"/>
    <w:rsid w:val="744E128A"/>
    <w:rsid w:val="748F53FE"/>
    <w:rsid w:val="763E0E8A"/>
    <w:rsid w:val="766227CC"/>
    <w:rsid w:val="768C7332"/>
    <w:rsid w:val="76F0487A"/>
    <w:rsid w:val="77426567"/>
    <w:rsid w:val="77493F8A"/>
    <w:rsid w:val="77AE3901"/>
    <w:rsid w:val="78174088"/>
    <w:rsid w:val="78574485"/>
    <w:rsid w:val="78770683"/>
    <w:rsid w:val="787943FB"/>
    <w:rsid w:val="78BD69DE"/>
    <w:rsid w:val="78E958F6"/>
    <w:rsid w:val="791F6178"/>
    <w:rsid w:val="7B08766C"/>
    <w:rsid w:val="7B9F65A8"/>
    <w:rsid w:val="7BE211F3"/>
    <w:rsid w:val="7C0B180E"/>
    <w:rsid w:val="7C594C70"/>
    <w:rsid w:val="7D0932A6"/>
    <w:rsid w:val="7D11554A"/>
    <w:rsid w:val="7DAD0FE3"/>
    <w:rsid w:val="7DC425BD"/>
    <w:rsid w:val="7DDA593C"/>
    <w:rsid w:val="7F370B6C"/>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4">
    <w:name w:val="Default Paragraph Font"/>
    <w:semiHidden/>
    <w:qFormat/>
    <w:uiPriority w:val="0"/>
    <w:rPr>
      <w:rFonts w:ascii="Calibri" w:hAnsi="Calibri" w:eastAsia="仿宋_GB2312"/>
      <w:sz w:val="32"/>
    </w:rPr>
  </w:style>
  <w:style w:type="table" w:default="1" w:styleId="13">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jc w:val="center"/>
    </w:pPr>
    <w:rPr>
      <w:rFonts w:ascii="Times New Roman" w:hAnsi="Times New Roman" w:eastAsia="黑体" w:cs="Times New Roman"/>
      <w:sz w:val="36"/>
      <w:szCs w:val="20"/>
    </w:rPr>
  </w:style>
  <w:style w:type="paragraph" w:styleId="4">
    <w:name w:val="Body Text 2"/>
    <w:basedOn w:val="1"/>
    <w:qFormat/>
    <w:uiPriority w:val="0"/>
    <w:pPr>
      <w:spacing w:line="480" w:lineRule="auto"/>
    </w:pPr>
    <w:rPr>
      <w:rFonts w:ascii="Times New Roman" w:hAnsi="Times New Roman" w:eastAsia="宋体" w:cs="Times New Roman"/>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1">
    <w:name w:val="Body Text First Indent"/>
    <w:basedOn w:val="3"/>
    <w:next w:val="12"/>
    <w:qFormat/>
    <w:uiPriority w:val="0"/>
    <w:pPr>
      <w:ind w:firstLine="420" w:firstLineChars="100"/>
    </w:pPr>
    <w:rPr>
      <w:rFonts w:ascii="宋体" w:hAnsi="Times New Roman" w:eastAsia="宋体" w:cs="Times New Roman"/>
      <w:kern w:val="0"/>
      <w:sz w:val="34"/>
      <w:szCs w:val="20"/>
    </w:rPr>
  </w:style>
  <w:style w:type="paragraph" w:styleId="12">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paragraph" w:customStyle="1" w:styleId="15">
    <w:name w:val="Body Text First Indent"/>
    <w:basedOn w:val="3"/>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1763</Words>
  <Characters>1821</Characters>
  <Lines>0</Lines>
  <Paragraphs>0</Paragraphs>
  <TotalTime>0</TotalTime>
  <ScaleCrop>false</ScaleCrop>
  <LinksUpToDate>false</LinksUpToDate>
  <CharactersWithSpaces>1857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2025-10-17T00:22:00Z</dcterms:created>
  <dc:creator>小雨</dc:creator>
  <cp:lastModifiedBy>WPS_1658882146</cp:lastModifiedBy>
  <dcterms:modified xsi:type="dcterms:W3CDTF">2026-10-13T07:37:20Z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3FAF65F2705A4F6DB3A003FA009AF85A_13</vt:lpwstr>
  </property>
  <property fmtid="{D5CDD505-2E9C-101B-9397-08002B2CF9AE}" pid="4" name="KSOTemplateDocerSaveRecord">
    <vt:lpwstr>eyJoZGlkIjoiNzg3ODU5ZjYyMmM0YjBjOTIyMTM1NmE1ZDhlZDkzNWQiLCJ1c2VySWQiOiIzMTMxMDc2MjYifQ==</vt:lpwstr>
  </property>
</Properties>
</file>