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275287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textAlignment w:val="auto"/>
        <w:rPr>
          <w:rFonts w:hint="default" w:ascii="仿宋_GB2312" w:hAnsi="仿宋_GB2312" w:eastAsia="仿宋_GB2312" w:cs="仿宋_GB2312"/>
          <w:b/>
          <w:bCs/>
          <w:sz w:val="32"/>
          <w:szCs w:val="32"/>
          <w:highlight w:val="none"/>
          <w:lang w:val="en-US" w:eastAsia="zh-CN"/>
        </w:rPr>
      </w:pPr>
      <w:bookmarkStart w:id="1" w:name="_GoBack"/>
      <w:bookmarkEnd w:id="1"/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附件1</w:t>
      </w:r>
    </w:p>
    <w:p w14:paraId="1B92B56B">
      <w:pPr>
        <w:pageBreakBefore w:val="0"/>
        <w:shd w:val="clear" w:color="auto" w:fill="auto"/>
        <w:kinsoku/>
        <w:wordWrap/>
        <w:overflowPunct/>
        <w:topLinePunct w:val="0"/>
        <w:bidi w:val="0"/>
        <w:spacing w:line="520" w:lineRule="exact"/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highlight w:val="none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highlight w:val="none"/>
        </w:rPr>
        <w:t>报价单</w:t>
      </w:r>
    </w:p>
    <w:p w14:paraId="3DBC6FA1">
      <w:pPr>
        <w:pageBreakBefore w:val="0"/>
        <w:shd w:val="clear" w:color="auto" w:fill="auto"/>
        <w:kinsoku/>
        <w:wordWrap/>
        <w:overflowPunct/>
        <w:topLinePunct w:val="0"/>
        <w:bidi w:val="0"/>
        <w:spacing w:line="520" w:lineRule="exact"/>
        <w:jc w:val="center"/>
        <w:rPr>
          <w:rFonts w:ascii="仿宋_GB2312" w:hAnsi="仿宋" w:eastAsia="仿宋_GB2312" w:cs="仿宋"/>
          <w:b/>
          <w:sz w:val="32"/>
          <w:szCs w:val="32"/>
          <w:highlight w:val="none"/>
        </w:rPr>
      </w:pPr>
    </w:p>
    <w:tbl>
      <w:tblPr>
        <w:tblStyle w:val="10"/>
        <w:tblW w:w="9077" w:type="dxa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927"/>
        <w:gridCol w:w="6150"/>
      </w:tblGrid>
      <w:tr w14:paraId="7E77F60B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98" w:hRule="exact"/>
        </w:trPr>
        <w:tc>
          <w:tcPr>
            <w:tcW w:w="2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C478A9">
            <w:pPr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bidi w:val="0"/>
              <w:spacing w:line="520" w:lineRule="exact"/>
              <w:jc w:val="center"/>
              <w:textAlignment w:val="center"/>
              <w:rPr>
                <w:rFonts w:ascii="仿宋_GB2312" w:hAnsi="宋体" w:eastAsia="仿宋_GB2312" w:cs="仿宋_GB2312"/>
                <w:b/>
                <w:color w:val="000000"/>
                <w:sz w:val="32"/>
                <w:szCs w:val="32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b/>
                <w:color w:val="000000"/>
                <w:kern w:val="0"/>
                <w:sz w:val="32"/>
                <w:szCs w:val="32"/>
                <w:highlight w:val="none"/>
                <w:lang w:bidi="ar"/>
              </w:rPr>
              <w:t>项目名称</w:t>
            </w:r>
          </w:p>
        </w:tc>
        <w:tc>
          <w:tcPr>
            <w:tcW w:w="6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E04DFD"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left"/>
              <w:textAlignment w:val="center"/>
              <w:rPr>
                <w:rFonts w:hint="default" w:ascii="仿宋_GB2312" w:hAnsi="仿宋_GB2312" w:eastAsia="仿宋_GB2312" w:cs="仿宋_GB2312"/>
                <w:b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2"/>
                <w:lang w:val="en-US" w:eastAsia="zh-CN"/>
              </w:rPr>
              <w:t>收购存量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22"/>
                <w:lang w:val="en-US" w:eastAsia="zh-CN"/>
              </w:rPr>
              <w:t>商品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2"/>
                <w:lang w:val="en-US" w:eastAsia="zh-CN"/>
              </w:rPr>
              <w:t>房作为保障性住房项目（一期）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22"/>
                <w:lang w:val="en-US" w:eastAsia="zh-CN"/>
              </w:rPr>
              <w:t>装修工程监理单位比选</w:t>
            </w:r>
          </w:p>
        </w:tc>
      </w:tr>
      <w:tr w14:paraId="60C9F457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98" w:hRule="exact"/>
        </w:trPr>
        <w:tc>
          <w:tcPr>
            <w:tcW w:w="2927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83B04D">
            <w:pPr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bidi w:val="0"/>
              <w:spacing w:line="520" w:lineRule="exact"/>
              <w:jc w:val="center"/>
              <w:textAlignment w:val="center"/>
              <w:rPr>
                <w:rFonts w:ascii="仿宋_GB2312" w:hAnsi="宋体" w:eastAsia="仿宋_GB2312" w:cs="仿宋_GB2312"/>
                <w:b/>
                <w:color w:val="000000"/>
                <w:sz w:val="32"/>
                <w:szCs w:val="32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b/>
                <w:color w:val="000000"/>
                <w:kern w:val="0"/>
                <w:sz w:val="32"/>
                <w:szCs w:val="32"/>
                <w:highlight w:val="none"/>
                <w:lang w:bidi="ar"/>
              </w:rPr>
              <w:t>申请人</w:t>
            </w:r>
          </w:p>
        </w:tc>
        <w:tc>
          <w:tcPr>
            <w:tcW w:w="6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6523A6">
            <w:pPr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bidi w:val="0"/>
              <w:spacing w:line="520" w:lineRule="exact"/>
              <w:jc w:val="center"/>
              <w:textAlignment w:val="center"/>
              <w:rPr>
                <w:rFonts w:ascii="仿宋_GB2312" w:hAnsi="宋体" w:eastAsia="仿宋_GB2312" w:cs="仿宋_GB2312"/>
                <w:b/>
                <w:color w:val="000000"/>
                <w:sz w:val="32"/>
                <w:szCs w:val="32"/>
                <w:highlight w:val="none"/>
              </w:rPr>
            </w:pPr>
          </w:p>
        </w:tc>
      </w:tr>
      <w:tr w14:paraId="346FD20F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98" w:hRule="exact"/>
        </w:trPr>
        <w:tc>
          <w:tcPr>
            <w:tcW w:w="2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7D4ED6">
            <w:pPr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bidi w:val="0"/>
              <w:spacing w:line="520" w:lineRule="exact"/>
              <w:jc w:val="center"/>
              <w:textAlignment w:val="center"/>
              <w:rPr>
                <w:rFonts w:ascii="仿宋_GB2312" w:hAnsi="宋体" w:eastAsia="仿宋_GB2312" w:cs="仿宋_GB2312"/>
                <w:b/>
                <w:color w:val="000000"/>
                <w:kern w:val="0"/>
                <w:sz w:val="32"/>
                <w:szCs w:val="32"/>
                <w:highlight w:val="none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b/>
                <w:color w:val="000000"/>
                <w:kern w:val="0"/>
                <w:sz w:val="32"/>
                <w:szCs w:val="32"/>
                <w:highlight w:val="none"/>
                <w:lang w:bidi="ar"/>
              </w:rPr>
              <w:t>项目负责人（职务）</w:t>
            </w:r>
          </w:p>
        </w:tc>
        <w:tc>
          <w:tcPr>
            <w:tcW w:w="6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ADEEB1">
            <w:pPr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bidi w:val="0"/>
              <w:spacing w:line="520" w:lineRule="exact"/>
              <w:jc w:val="center"/>
              <w:textAlignment w:val="center"/>
              <w:rPr>
                <w:rFonts w:ascii="仿宋_GB2312" w:hAnsi="宋体" w:eastAsia="仿宋_GB2312" w:cs="仿宋_GB2312"/>
                <w:b/>
                <w:color w:val="000000"/>
                <w:sz w:val="32"/>
                <w:szCs w:val="32"/>
                <w:highlight w:val="none"/>
              </w:rPr>
            </w:pPr>
          </w:p>
        </w:tc>
      </w:tr>
      <w:tr w14:paraId="7CC30AD9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98" w:hRule="exact"/>
        </w:trPr>
        <w:tc>
          <w:tcPr>
            <w:tcW w:w="2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D9F1EB">
            <w:pPr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bidi w:val="0"/>
              <w:spacing w:line="52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color w:val="000000"/>
                <w:kern w:val="0"/>
                <w:sz w:val="32"/>
                <w:szCs w:val="32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b/>
                <w:color w:val="000000"/>
                <w:kern w:val="0"/>
                <w:sz w:val="32"/>
                <w:szCs w:val="32"/>
                <w:highlight w:val="none"/>
                <w:lang w:val="en-US" w:eastAsia="zh-CN" w:bidi="ar"/>
              </w:rPr>
              <w:t>项目工作内容</w:t>
            </w:r>
          </w:p>
        </w:tc>
        <w:tc>
          <w:tcPr>
            <w:tcW w:w="6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79C15C">
            <w:pPr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bidi w:val="0"/>
              <w:spacing w:line="52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color w:val="000000"/>
                <w:kern w:val="0"/>
                <w:sz w:val="32"/>
                <w:szCs w:val="32"/>
                <w:highlight w:val="none"/>
                <w:lang w:bidi="ar"/>
              </w:rPr>
            </w:pPr>
          </w:p>
          <w:p w14:paraId="17724952">
            <w:pPr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bidi w:val="0"/>
              <w:spacing w:line="52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color w:val="000000"/>
                <w:kern w:val="0"/>
                <w:sz w:val="32"/>
                <w:szCs w:val="32"/>
                <w:highlight w:val="none"/>
                <w:lang w:bidi="ar"/>
              </w:rPr>
            </w:pPr>
          </w:p>
        </w:tc>
      </w:tr>
      <w:tr w14:paraId="4CADABA9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609" w:hRule="exact"/>
        </w:trPr>
        <w:tc>
          <w:tcPr>
            <w:tcW w:w="2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45F56F">
            <w:pPr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bidi w:val="0"/>
              <w:spacing w:line="520" w:lineRule="exact"/>
              <w:jc w:val="center"/>
              <w:textAlignment w:val="center"/>
              <w:rPr>
                <w:rFonts w:ascii="仿宋_GB2312" w:hAnsi="宋体" w:eastAsia="仿宋_GB2312" w:cs="仿宋_GB2312"/>
                <w:b/>
                <w:color w:val="000000"/>
                <w:kern w:val="0"/>
                <w:sz w:val="32"/>
                <w:szCs w:val="32"/>
                <w:highlight w:val="none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b/>
                <w:color w:val="000000"/>
                <w:kern w:val="0"/>
                <w:sz w:val="32"/>
                <w:szCs w:val="32"/>
                <w:highlight w:val="none"/>
                <w:lang w:val="en-US" w:eastAsia="zh-CN" w:bidi="ar"/>
              </w:rPr>
              <w:t>联系方式</w:t>
            </w:r>
          </w:p>
        </w:tc>
        <w:tc>
          <w:tcPr>
            <w:tcW w:w="6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F38341">
            <w:pPr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bidi w:val="0"/>
              <w:spacing w:line="520" w:lineRule="exact"/>
              <w:jc w:val="center"/>
              <w:textAlignment w:val="center"/>
              <w:rPr>
                <w:rFonts w:ascii="仿宋_GB2312" w:hAnsi="宋体" w:eastAsia="仿宋_GB2312" w:cs="仿宋_GB2312"/>
                <w:b/>
                <w:color w:val="000000"/>
                <w:kern w:val="0"/>
                <w:sz w:val="32"/>
                <w:szCs w:val="32"/>
                <w:highlight w:val="none"/>
                <w:lang w:bidi="ar"/>
              </w:rPr>
            </w:pPr>
          </w:p>
        </w:tc>
      </w:tr>
      <w:tr w14:paraId="72DE99A6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609" w:hRule="exact"/>
        </w:trPr>
        <w:tc>
          <w:tcPr>
            <w:tcW w:w="2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CABCD3">
            <w:pPr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bidi w:val="0"/>
              <w:spacing w:line="52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color w:val="000000"/>
                <w:kern w:val="0"/>
                <w:sz w:val="32"/>
                <w:szCs w:val="32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b/>
                <w:color w:val="000000"/>
                <w:kern w:val="0"/>
                <w:sz w:val="32"/>
                <w:szCs w:val="32"/>
                <w:highlight w:val="none"/>
                <w:lang w:bidi="ar"/>
              </w:rPr>
              <w:t>报价</w:t>
            </w:r>
          </w:p>
        </w:tc>
        <w:tc>
          <w:tcPr>
            <w:tcW w:w="6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7D4CD3">
            <w:pPr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bidi w:val="0"/>
              <w:spacing w:line="52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color w:val="000000"/>
                <w:kern w:val="0"/>
                <w:sz w:val="32"/>
                <w:szCs w:val="32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sz w:val="28"/>
                <w:szCs w:val="28"/>
                <w:highlight w:val="none"/>
                <w:u w:val="none"/>
                <w:lang w:val="en-US" w:eastAsia="zh-CN"/>
              </w:rPr>
              <w:t xml:space="preserve"> ****%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sz w:val="28"/>
                <w:szCs w:val="28"/>
                <w:highlight w:val="none"/>
                <w:lang w:val="en-US" w:eastAsia="zh-CN"/>
              </w:rPr>
              <w:t>（含税）</w:t>
            </w:r>
          </w:p>
        </w:tc>
      </w:tr>
    </w:tbl>
    <w:p w14:paraId="0B26F33C">
      <w:pPr>
        <w:pageBreakBefore w:val="0"/>
        <w:shd w:val="clear" w:color="auto" w:fill="auto"/>
        <w:kinsoku/>
        <w:wordWrap/>
        <w:overflowPunct/>
        <w:topLinePunct w:val="0"/>
        <w:bidi w:val="0"/>
        <w:adjustRightInd w:val="0"/>
        <w:spacing w:line="520" w:lineRule="exact"/>
        <w:ind w:firstLine="640" w:firstLineChars="200"/>
        <w:jc w:val="right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</w:p>
    <w:p w14:paraId="3B3E51B3">
      <w:pPr>
        <w:pageBreakBefore w:val="0"/>
        <w:shd w:val="clear" w:color="auto" w:fill="auto"/>
        <w:kinsoku/>
        <w:wordWrap/>
        <w:overflowPunct/>
        <w:topLinePunct w:val="0"/>
        <w:bidi w:val="0"/>
        <w:adjustRightInd w:val="0"/>
        <w:spacing w:line="520" w:lineRule="exact"/>
        <w:ind w:firstLine="640" w:firstLineChars="200"/>
        <w:jc w:val="right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</w:p>
    <w:p w14:paraId="43DBFEAA">
      <w:pPr>
        <w:pStyle w:val="2"/>
        <w:pageBreakBefore w:val="0"/>
        <w:kinsoku/>
        <w:wordWrap/>
        <w:overflowPunct/>
        <w:topLinePunct w:val="0"/>
        <w:bidi w:val="0"/>
        <w:spacing w:line="520" w:lineRule="exact"/>
        <w:ind w:firstLine="5461" w:firstLineChars="1700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年    月    日</w:t>
      </w:r>
    </w:p>
    <w:p w14:paraId="58C3C970">
      <w:pPr>
        <w:pStyle w:val="8"/>
        <w:ind w:left="0" w:leftChars="0" w:firstLine="0" w:firstLineChars="0"/>
        <w:rPr>
          <w:rFonts w:hint="eastAsia"/>
          <w:lang w:val="en-US" w:eastAsia="zh-CN"/>
        </w:rPr>
      </w:pPr>
    </w:p>
    <w:p w14:paraId="09E9A0B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textAlignment w:val="auto"/>
        <w:rPr>
          <w:rFonts w:hint="default" w:ascii="仿宋_GB2312" w:hAnsi="仿宋_GB2312" w:eastAsia="仿宋_GB2312" w:cs="仿宋_GB2312"/>
          <w:b/>
          <w:bCs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附件2</w:t>
      </w:r>
    </w:p>
    <w:p w14:paraId="0B3EC263">
      <w:pPr>
        <w:pStyle w:val="7"/>
        <w:pageBreakBefore w:val="0"/>
        <w:kinsoku/>
        <w:wordWrap/>
        <w:overflowPunct/>
        <w:topLinePunct w:val="0"/>
        <w:bidi w:val="0"/>
        <w:spacing w:line="520" w:lineRule="exact"/>
        <w:ind w:firstLine="0" w:firstLineChars="0"/>
        <w:contextualSpacing/>
        <w:jc w:val="center"/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  <w:highlight w:val="none"/>
          <w:lang w:val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  <w:highlight w:val="none"/>
          <w:lang w:val="zh-CN"/>
        </w:rPr>
        <w:t>评标标准</w:t>
      </w:r>
    </w:p>
    <w:p w14:paraId="18BB29A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b/>
          <w:bCs/>
          <w:sz w:val="32"/>
          <w:szCs w:val="32"/>
          <w:highlight w:val="none"/>
          <w:lang w:val="zh-CN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highlight w:val="none"/>
          <w:lang w:val="zh-CN" w:eastAsia="zh-CN"/>
        </w:rPr>
        <w:t>一、资格审查</w:t>
      </w:r>
    </w:p>
    <w:p w14:paraId="13849D3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FF0000"/>
          <w:sz w:val="32"/>
          <w:szCs w:val="32"/>
          <w:highlight w:val="none"/>
          <w:lang w:val="zh-CN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评审小组对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申请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人资格进行检查。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zh-CN" w:eastAsia="zh-CN"/>
        </w:rPr>
        <w:t>确定符合资格的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申请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zh-CN" w:eastAsia="zh-CN"/>
        </w:rPr>
        <w:t>人不少于3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zh-CN" w:eastAsia="zh-CN"/>
        </w:rPr>
        <w:t>家后对投标文件进行符合性审查，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少于三家则本次评标过程无效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zh-CN" w:eastAsia="zh-CN"/>
        </w:rPr>
        <w:t>。</w:t>
      </w:r>
    </w:p>
    <w:p w14:paraId="7BF025A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b/>
          <w:bCs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highlight w:val="none"/>
          <w:lang w:val="en-US" w:eastAsia="zh-CN"/>
        </w:rPr>
        <w:t>二、评审</w:t>
      </w:r>
    </w:p>
    <w:p w14:paraId="289B4C2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b/>
          <w:bCs/>
          <w:sz w:val="32"/>
          <w:szCs w:val="32"/>
          <w:highlight w:val="none"/>
          <w:lang w:val="zh-CN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highlight w:val="none"/>
          <w:lang w:val="zh-CN" w:eastAsia="zh-CN"/>
        </w:rPr>
        <w:t>（一）评审方法</w:t>
      </w:r>
    </w:p>
    <w:p w14:paraId="5273775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b/>
          <w:bCs/>
          <w:sz w:val="32"/>
          <w:szCs w:val="32"/>
          <w:highlight w:val="none"/>
          <w:lang w:val="zh-CN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highlight w:val="none"/>
          <w:lang w:val="zh-CN" w:eastAsia="zh-CN"/>
        </w:rPr>
        <w:t>本项目采用综合评分法。总分为 100 分。</w:t>
      </w:r>
    </w:p>
    <w:p w14:paraId="67AECD7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highlight w:val="none"/>
          <w:lang w:val="zh-CN"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highlight w:val="none"/>
          <w:lang w:val="zh-CN" w:eastAsia="zh-CN"/>
        </w:rPr>
        <w:t>（二）评分办法</w:t>
      </w:r>
    </w:p>
    <w:tbl>
      <w:tblPr>
        <w:tblStyle w:val="10"/>
        <w:tblW w:w="1007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07"/>
        <w:gridCol w:w="7770"/>
      </w:tblGrid>
      <w:tr w14:paraId="275E40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60" w:hRule="atLeast"/>
          <w:jc w:val="center"/>
        </w:trPr>
        <w:tc>
          <w:tcPr>
            <w:tcW w:w="2307" w:type="dxa"/>
            <w:vAlign w:val="center"/>
          </w:tcPr>
          <w:p w14:paraId="45F3EBC3">
            <w:pPr>
              <w:keepNext w:val="0"/>
              <w:keepLines w:val="0"/>
              <w:pageBreakBefore w:val="0"/>
              <w:tabs>
                <w:tab w:val="left" w:pos="1260"/>
              </w:tabs>
              <w:kinsoku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ind w:firstLine="320" w:firstLineChars="100"/>
              <w:jc w:val="both"/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highlight w:val="none"/>
                <w:lang w:val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highlight w:val="none"/>
                <w:lang w:val="zh-CN"/>
              </w:rPr>
              <w:t>分值构成</w:t>
            </w:r>
          </w:p>
          <w:p w14:paraId="7BAD595F">
            <w:pPr>
              <w:keepNext w:val="0"/>
              <w:keepLines w:val="0"/>
              <w:pageBreakBefore w:val="0"/>
              <w:tabs>
                <w:tab w:val="left" w:pos="1260"/>
              </w:tabs>
              <w:kinsoku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highlight w:val="none"/>
                <w:lang w:val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highlight w:val="none"/>
                <w:lang w:val="zh-CN"/>
              </w:rPr>
              <w:t>(总分100分)</w:t>
            </w:r>
          </w:p>
        </w:tc>
        <w:tc>
          <w:tcPr>
            <w:tcW w:w="7770" w:type="dxa"/>
            <w:vAlign w:val="center"/>
          </w:tcPr>
          <w:p w14:paraId="2C012751"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adjustRightInd w:val="0"/>
              <w:snapToGrid w:val="0"/>
              <w:spacing w:line="560" w:lineRule="exact"/>
              <w:jc w:val="both"/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highlight w:val="none"/>
                <w:lang w:val="zh-CN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highlight w:val="none"/>
              </w:rPr>
              <w:t>监理大纲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highlight w:val="none"/>
                <w:lang w:val="zh-CN"/>
              </w:rPr>
              <w:t>：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highlight w:val="none"/>
                <w:lang w:val="en-US" w:eastAsia="zh-CN"/>
              </w:rPr>
              <w:t xml:space="preserve"> 30 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highlight w:val="none"/>
                <w:lang w:val="zh-CN"/>
              </w:rPr>
              <w:t>分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32"/>
                <w:szCs w:val="32"/>
                <w:highlight w:val="none"/>
                <w:lang w:val="en-US" w:eastAsia="zh-CN"/>
              </w:rPr>
              <w:t xml:space="preserve">     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highlight w:val="none"/>
                <w:lang w:val="en-US" w:eastAsia="zh-CN"/>
              </w:rPr>
              <w:t>投标报价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highlight w:val="none"/>
                <w:lang w:val="zh-CN" w:eastAsia="zh-CN"/>
              </w:rPr>
              <w:t>：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highlight w:val="none"/>
                <w:lang w:val="en-US" w:eastAsia="zh-CN"/>
              </w:rPr>
              <w:t xml:space="preserve"> 30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highlight w:val="none"/>
                <w:lang w:val="zh-CN" w:eastAsia="zh-CN"/>
              </w:rPr>
              <w:t xml:space="preserve"> 分</w:t>
            </w:r>
          </w:p>
          <w:p w14:paraId="55154AF9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bidi w:val="0"/>
              <w:adjustRightInd w:val="0"/>
              <w:snapToGrid w:val="0"/>
              <w:spacing w:line="560" w:lineRule="exact"/>
              <w:jc w:val="left"/>
              <w:rPr>
                <w:rFonts w:hint="default" w:ascii="Times New Roman" w:hAnsi="Times New Roman" w:cs="Times New Roman"/>
                <w:color w:val="auto"/>
                <w:highlight w:val="none"/>
                <w:lang w:val="en-US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highlight w:val="none"/>
                <w:lang w:val="en-US" w:eastAsia="zh-CN"/>
              </w:rPr>
              <w:t>资信业绩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highlight w:val="none"/>
                <w:lang w:val="zh-CN" w:eastAsia="zh-CN"/>
              </w:rPr>
              <w:t>：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highlight w:val="none"/>
                <w:lang w:val="en-US" w:eastAsia="zh-CN"/>
              </w:rPr>
              <w:t xml:space="preserve"> 37 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highlight w:val="none"/>
                <w:lang w:val="zh-CN" w:eastAsia="zh-CN"/>
              </w:rPr>
              <w:t>分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32"/>
                <w:szCs w:val="32"/>
                <w:highlight w:val="none"/>
                <w:lang w:val="en-US" w:eastAsia="zh-CN"/>
              </w:rPr>
              <w:t xml:space="preserve">     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highlight w:val="none"/>
                <w:lang w:val="en-US" w:eastAsia="zh-CN"/>
              </w:rPr>
              <w:t>其他因素： 3 分</w:t>
            </w:r>
          </w:p>
        </w:tc>
      </w:tr>
      <w:tr w14:paraId="1DACA4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2" w:hRule="atLeast"/>
          <w:jc w:val="center"/>
        </w:trPr>
        <w:tc>
          <w:tcPr>
            <w:tcW w:w="230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A25C31"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highlight w:val="none"/>
                <w:lang w:val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highlight w:val="none"/>
                <w:lang w:val="zh-CN"/>
              </w:rPr>
              <w:t>评审项</w:t>
            </w:r>
          </w:p>
        </w:tc>
        <w:tc>
          <w:tcPr>
            <w:tcW w:w="777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522660"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highlight w:val="none"/>
                <w:lang w:val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highlight w:val="none"/>
                <w:lang w:val="zh-CN"/>
              </w:rPr>
              <w:t>评标标准</w:t>
            </w:r>
          </w:p>
        </w:tc>
      </w:tr>
      <w:tr w14:paraId="662B4C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33" w:hRule="atLeast"/>
          <w:jc w:val="center"/>
        </w:trPr>
        <w:tc>
          <w:tcPr>
            <w:tcW w:w="230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C1DB51"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adjustRightInd w:val="0"/>
              <w:snapToGrid w:val="0"/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highlight w:val="none"/>
              </w:rPr>
              <w:t>监理大纲</w:t>
            </w:r>
          </w:p>
          <w:p w14:paraId="779034C0"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adjustRightInd w:val="0"/>
              <w:snapToGrid w:val="0"/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highlight w:val="none"/>
              </w:rPr>
              <w:t>（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highlight w:val="none"/>
                <w:lang w:val="en-US" w:eastAsia="zh-CN"/>
              </w:rPr>
              <w:t>30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highlight w:val="none"/>
              </w:rPr>
              <w:t>分）</w:t>
            </w:r>
          </w:p>
        </w:tc>
        <w:tc>
          <w:tcPr>
            <w:tcW w:w="777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640F8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highlight w:val="none"/>
                <w:lang w:val="en-US" w:eastAsia="zh-CN"/>
              </w:rPr>
              <w:t>1.质量控制：总体质量控制目标满足招标文件要求，且对质量控制目标进行了合理分解、规划（0-6分）；</w:t>
            </w:r>
          </w:p>
          <w:p w14:paraId="274A395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highlight w:val="none"/>
                <w:lang w:val="en-US" w:eastAsia="zh-CN"/>
              </w:rPr>
              <w:t>2.进度控制：对总体进度目标分解合理，能体现预控和全面控制能力（0-6分）；</w:t>
            </w:r>
          </w:p>
          <w:p w14:paraId="237C004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highlight w:val="none"/>
                <w:lang w:val="en-US" w:eastAsia="zh-CN"/>
              </w:rPr>
              <w:t>3.安全措施：安全控制措施周密，安全控制手段合理（0-6分）；</w:t>
            </w:r>
          </w:p>
          <w:p w14:paraId="11FC7AC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highlight w:val="none"/>
                <w:lang w:val="en-US" w:eastAsia="zh-CN"/>
              </w:rPr>
              <w:t>4.档案及合同管理：工程档案管理措施切实可行，并设置专职人员进行管理（0-6分）；</w:t>
            </w:r>
          </w:p>
          <w:p w14:paraId="7E8CF6A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left"/>
              <w:textAlignment w:val="auto"/>
              <w:rPr>
                <w:rFonts w:hint="default" w:ascii="Times New Roman" w:hAnsi="Times New Roman" w:cs="Times New Roman"/>
                <w:color w:val="auto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highlight w:val="none"/>
                <w:lang w:val="en-US" w:eastAsia="zh-CN"/>
              </w:rPr>
              <w:t>5.工作制度：根据验收制度、签证制度、会议制度、公司对项目监理机构的监控制度、季报(月报)制度、公司对项目监理机构的奖惩考核制度等各项制度健全完善情况，酌情打分（0-6分）。</w:t>
            </w:r>
          </w:p>
        </w:tc>
      </w:tr>
      <w:tr w14:paraId="2DE524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7" w:hRule="atLeast"/>
          <w:jc w:val="center"/>
        </w:trPr>
        <w:tc>
          <w:tcPr>
            <w:tcW w:w="230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222BAE"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adjustRightInd w:val="0"/>
              <w:snapToGrid w:val="0"/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highlight w:val="none"/>
                <w:lang w:val="en-US" w:eastAsia="zh-CN"/>
              </w:rPr>
              <w:t>投标报价</w:t>
            </w:r>
          </w:p>
          <w:p w14:paraId="325BD676"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adjustRightInd w:val="0"/>
              <w:snapToGrid w:val="0"/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highlight w:val="none"/>
                <w:lang w:val="en-US" w:eastAsia="zh-CN"/>
              </w:rPr>
              <w:t>（30分）</w:t>
            </w:r>
          </w:p>
        </w:tc>
        <w:tc>
          <w:tcPr>
            <w:tcW w:w="777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598FA5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highlight w:val="none"/>
                <w:lang w:val="en-US" w:eastAsia="zh-CN"/>
              </w:rPr>
              <w:t>1.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highlight w:val="none"/>
              </w:rPr>
              <w:t>收费超过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32"/>
                <w:szCs w:val="32"/>
                <w:highlight w:val="none"/>
                <w:lang w:val="en-US" w:eastAsia="zh-CN"/>
              </w:rPr>
              <w:t>拦标价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highlight w:val="none"/>
              </w:rPr>
              <w:t>为无效报价；</w:t>
            </w:r>
          </w:p>
          <w:p w14:paraId="0E3D63E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highlight w:val="none"/>
                <w:lang w:val="en-US" w:eastAsia="zh-CN"/>
              </w:rPr>
              <w:t>2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highlight w:val="none"/>
              </w:rPr>
              <w:t>.所有参与的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highlight w:val="none"/>
                <w:lang w:eastAsia="zh-CN"/>
              </w:rPr>
              <w:t>比选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highlight w:val="none"/>
              </w:rPr>
              <w:t>申请人最低的有效报价为基准报价；</w:t>
            </w:r>
          </w:p>
          <w:p w14:paraId="72C20EFE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ind w:left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highlight w:val="none"/>
                <w:lang w:val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highlight w:val="none"/>
                <w:lang w:val="en-US" w:eastAsia="zh-CN"/>
              </w:rPr>
              <w:t>3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highlight w:val="none"/>
              </w:rPr>
              <w:t>.报价得分=（基准报价/报价）×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highlight w:val="none"/>
                <w:lang w:val="en-US" w:eastAsia="zh-CN"/>
              </w:rPr>
              <w:t>3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highlight w:val="none"/>
              </w:rPr>
              <w:t>0分。</w:t>
            </w:r>
          </w:p>
        </w:tc>
      </w:tr>
      <w:tr w14:paraId="40FC68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20" w:hRule="atLeast"/>
          <w:jc w:val="center"/>
        </w:trPr>
        <w:tc>
          <w:tcPr>
            <w:tcW w:w="230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1A09D7"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adjustRightInd w:val="0"/>
              <w:snapToGrid w:val="0"/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highlight w:val="none"/>
                <w:lang w:val="en-US" w:eastAsia="zh-CN"/>
              </w:rPr>
              <w:t>资信业绩</w:t>
            </w:r>
          </w:p>
          <w:p w14:paraId="3408D0C6"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adjustRightInd w:val="0"/>
              <w:snapToGrid w:val="0"/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highlight w:val="none"/>
                <w:lang w:val="en-US" w:eastAsia="zh-CN"/>
              </w:rPr>
              <w:t>（37分）</w:t>
            </w:r>
          </w:p>
        </w:tc>
        <w:tc>
          <w:tcPr>
            <w:tcW w:w="777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41D086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ind w:left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highlight w:val="none"/>
                <w:lang w:val="en-US" w:eastAsia="zh-CN"/>
              </w:rPr>
              <w:t>1.企业业绩：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32"/>
                <w:szCs w:val="32"/>
                <w:highlight w:val="none"/>
                <w:lang w:val="en-US" w:eastAsia="zh-CN"/>
              </w:rPr>
              <w:t>近三年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highlight w:val="none"/>
                <w:lang w:val="en-US" w:eastAsia="zh-CN"/>
              </w:rPr>
              <w:t>以来，投标人具有类似项目业绩的，每项得5分，最高得15分。时间以合同签订时间为准，需提供中标通知书、合同协议书复印件及公示网页版截图。</w:t>
            </w:r>
          </w:p>
          <w:p w14:paraId="45ECF27F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ind w:left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highlight w:val="none"/>
                <w:lang w:val="en-US" w:eastAsia="zh-CN"/>
              </w:rPr>
              <w:t>2.企业荣誉：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32"/>
                <w:szCs w:val="32"/>
                <w:highlight w:val="none"/>
                <w:lang w:val="en-US" w:eastAsia="zh-CN"/>
              </w:rPr>
              <w:t>近三年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highlight w:val="none"/>
                <w:lang w:val="en-US" w:eastAsia="zh-CN"/>
              </w:rPr>
              <w:t>以来获得过省级及以上优秀工程监理企业（诚信建设先进企业）奖项得5分；市级的得3分，本项最高得15分。时间以证书日期为准，以关于获奖项目通知的红头文件及证书的原件扫描件（或图片）为准；同一项目不同获奖不重复计分。</w:t>
            </w:r>
          </w:p>
          <w:p w14:paraId="5672B10A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ind w:left="0" w:leftChars="0" w:firstLine="0" w:firstLine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32"/>
                <w:szCs w:val="3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32"/>
                <w:szCs w:val="32"/>
                <w:highlight w:val="none"/>
                <w:lang w:val="en-US" w:eastAsia="zh-CN" w:bidi="ar-SA"/>
              </w:rPr>
              <w:t>3.项目监理机构人员配备：</w:t>
            </w:r>
          </w:p>
          <w:p w14:paraId="101683B5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ind w:left="0" w:leftChars="0" w:firstLine="0" w:firstLine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32"/>
                <w:szCs w:val="3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32"/>
                <w:szCs w:val="32"/>
                <w:highlight w:val="none"/>
                <w:lang w:val="en-US" w:eastAsia="zh-CN" w:bidi="ar-SA"/>
              </w:rPr>
              <w:t xml:space="preserve">（1）投标人拟派项目监理机构人员，须包括项目负责 </w:t>
            </w:r>
          </w:p>
          <w:p w14:paraId="2782600F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ind w:left="0" w:leftChars="0" w:firstLine="0" w:firstLine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32"/>
                <w:szCs w:val="3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32"/>
                <w:szCs w:val="32"/>
                <w:highlight w:val="none"/>
                <w:lang w:val="en-US" w:eastAsia="zh-CN" w:bidi="ar-SA"/>
              </w:rPr>
              <w:t xml:space="preserve">人(总监理工程师) 、总监理工程师代表、专业监理工程 </w:t>
            </w:r>
          </w:p>
          <w:p w14:paraId="4D2B5D4E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ind w:left="0" w:leftChars="0" w:firstLine="0" w:firstLine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32"/>
                <w:szCs w:val="3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32"/>
                <w:szCs w:val="32"/>
                <w:highlight w:val="none"/>
                <w:lang w:val="en-US" w:eastAsia="zh-CN" w:bidi="ar-SA"/>
              </w:rPr>
              <w:t>师、造价工程师、监理员、安全员、见证员、资料</w:t>
            </w:r>
            <w:r>
              <w:rPr>
                <w:rFonts w:hint="eastAsia" w:ascii="Times New Roman" w:eastAsia="仿宋_GB2312" w:cs="Times New Roman"/>
                <w:color w:val="auto"/>
                <w:kern w:val="2"/>
                <w:sz w:val="32"/>
                <w:szCs w:val="32"/>
                <w:highlight w:val="none"/>
                <w:lang w:val="en-US" w:eastAsia="zh-CN" w:bidi="ar-SA"/>
              </w:rPr>
              <w:t>员等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32"/>
                <w:szCs w:val="32"/>
                <w:highlight w:val="none"/>
                <w:lang w:val="en-US" w:eastAsia="zh-CN" w:bidi="ar-SA"/>
              </w:rPr>
              <w:t xml:space="preserve">专职人员配备齐全得2分，缺项不得分。 </w:t>
            </w:r>
          </w:p>
          <w:p w14:paraId="250A3C78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ind w:left="0" w:leftChars="0" w:firstLine="0" w:firstLine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32"/>
                <w:szCs w:val="3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32"/>
                <w:szCs w:val="32"/>
                <w:highlight w:val="none"/>
                <w:lang w:val="en-US" w:eastAsia="zh-CN" w:bidi="ar-SA"/>
              </w:rPr>
              <w:t xml:space="preserve">（2）投标人拟派项目监理机构中除项目负责人(总监理 </w:t>
            </w:r>
          </w:p>
          <w:p w14:paraId="6F37795D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ind w:left="0" w:leftChars="0" w:firstLine="0" w:firstLine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32"/>
                <w:szCs w:val="3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32"/>
                <w:szCs w:val="32"/>
                <w:highlight w:val="none"/>
                <w:lang w:val="en-US" w:eastAsia="zh-CN" w:bidi="ar-SA"/>
              </w:rPr>
              <w:t xml:space="preserve">工程师) 以外的其他人员，每具备一名高级工程师的得1 </w:t>
            </w:r>
          </w:p>
          <w:p w14:paraId="588CD259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ind w:left="0" w:leftChars="0" w:firstLine="0" w:firstLine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32"/>
                <w:szCs w:val="3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32"/>
                <w:szCs w:val="32"/>
                <w:highlight w:val="none"/>
                <w:lang w:val="en-US" w:eastAsia="zh-CN" w:bidi="ar-SA"/>
              </w:rPr>
              <w:t xml:space="preserve">分，本项最高得3分。 </w:t>
            </w:r>
          </w:p>
          <w:p w14:paraId="4CB8AB9A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ind w:left="0" w:leftChars="0" w:firstLine="0" w:firstLine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32"/>
                <w:szCs w:val="3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32"/>
                <w:szCs w:val="32"/>
                <w:highlight w:val="none"/>
                <w:lang w:val="en-US" w:eastAsia="zh-CN" w:bidi="ar-SA"/>
              </w:rPr>
              <w:t xml:space="preserve">（3）投标人拟派项目监理机构人员具有注册安全工程师的得2分，本项最高得2分。 </w:t>
            </w:r>
          </w:p>
          <w:p w14:paraId="00BE51DD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ind w:left="0" w:leftChars="0" w:firstLine="0" w:firstLineChars="0"/>
              <w:jc w:val="both"/>
              <w:textAlignment w:val="auto"/>
              <w:rPr>
                <w:rFonts w:hint="default" w:ascii="Times New Roman" w:hAnsi="Times New Roman" w:cs="Times New Roman"/>
                <w:color w:val="auto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32"/>
                <w:szCs w:val="32"/>
                <w:highlight w:val="none"/>
                <w:lang w:val="en-US" w:eastAsia="zh-CN" w:bidi="ar-SA"/>
              </w:rPr>
              <w:t>注：投标文件中须附项目监理机构人员相关证书</w:t>
            </w:r>
            <w:r>
              <w:rPr>
                <w:rFonts w:hint="eastAsia" w:ascii="Times New Roman" w:eastAsia="仿宋_GB2312" w:cs="Times New Roman"/>
                <w:color w:val="auto"/>
                <w:kern w:val="2"/>
                <w:sz w:val="32"/>
                <w:szCs w:val="32"/>
                <w:highlight w:val="none"/>
                <w:lang w:val="en-US" w:eastAsia="zh-CN" w:bidi="ar-SA"/>
              </w:rPr>
              <w:t>的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32"/>
                <w:szCs w:val="32"/>
                <w:highlight w:val="none"/>
                <w:lang w:val="en-US" w:eastAsia="zh-CN" w:bidi="ar-SA"/>
              </w:rPr>
              <w:t>复印件，不提供者不得分。</w:t>
            </w:r>
          </w:p>
        </w:tc>
      </w:tr>
      <w:tr w14:paraId="7B36CC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3" w:hRule="atLeast"/>
          <w:jc w:val="center"/>
        </w:trPr>
        <w:tc>
          <w:tcPr>
            <w:tcW w:w="230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1D6804"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adjustRightInd w:val="0"/>
              <w:snapToGrid w:val="0"/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highlight w:val="none"/>
                <w:lang w:val="en-US" w:eastAsia="zh-CN"/>
              </w:rPr>
              <w:t>其他因素</w:t>
            </w:r>
          </w:p>
          <w:p w14:paraId="63FBA92A"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adjustRightInd w:val="0"/>
              <w:snapToGrid w:val="0"/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highlight w:val="none"/>
                <w:lang w:val="en-US" w:eastAsia="zh-CN"/>
              </w:rPr>
              <w:t>（3分）</w:t>
            </w:r>
          </w:p>
        </w:tc>
        <w:tc>
          <w:tcPr>
            <w:tcW w:w="777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B1B86A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ind w:left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highlight w:val="none"/>
                <w:lang w:val="en-US" w:eastAsia="zh-CN"/>
              </w:rPr>
            </w:pPr>
            <w:bookmarkStart w:id="0" w:name="OLE_LINK2"/>
            <w:r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highlight w:val="none"/>
                <w:lang w:val="en-US" w:eastAsia="zh-CN"/>
              </w:rPr>
              <w:t>1.服务承诺：</w:t>
            </w:r>
            <w:bookmarkEnd w:id="0"/>
            <w:r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highlight w:val="none"/>
                <w:lang w:val="en-US" w:eastAsia="zh-CN"/>
              </w:rPr>
              <w:t>投标人对以下事项进行承诺，每具有一项得 1分，没有承诺的不得分；</w:t>
            </w:r>
          </w:p>
          <w:p w14:paraId="16973FB5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ind w:left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highlight w:val="none"/>
                <w:lang w:val="en-US" w:eastAsia="zh-CN"/>
              </w:rPr>
              <w:t>须包含但不限于：</w:t>
            </w:r>
          </w:p>
          <w:p w14:paraId="6CE96F89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ind w:left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highlight w:val="none"/>
                <w:lang w:val="en-US" w:eastAsia="zh-CN"/>
              </w:rPr>
              <w:t>（1）项目班子成员服务管理承诺(1分) ；</w:t>
            </w:r>
          </w:p>
          <w:p w14:paraId="64648B89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ind w:left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highlight w:val="none"/>
                <w:lang w:val="en-US" w:eastAsia="zh-CN"/>
              </w:rPr>
              <w:t>（2）质量、进度、安全、环保等承诺(1分) ；</w:t>
            </w:r>
          </w:p>
          <w:p w14:paraId="328E8016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ind w:leftChars="0"/>
              <w:jc w:val="both"/>
              <w:textAlignment w:val="auto"/>
              <w:rPr>
                <w:rFonts w:hint="default" w:ascii="Times New Roman" w:hAnsi="Times New Roman" w:eastAsia="宋体" w:cs="Times New Roman"/>
                <w:color w:val="auto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highlight w:val="none"/>
                <w:lang w:val="en-US" w:eastAsia="zh-CN"/>
              </w:rPr>
              <w:t>（3）项目现场常驻监理人员不少于3人的承诺(1分)。</w:t>
            </w:r>
          </w:p>
        </w:tc>
      </w:tr>
    </w:tbl>
    <w:p w14:paraId="4A60DBC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highlight w:val="none"/>
          <w:lang w:val="zh-CN" w:eastAsia="zh-CN"/>
        </w:rPr>
      </w:pPr>
    </w:p>
    <w:p w14:paraId="23F7519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b/>
          <w:bCs/>
          <w:sz w:val="32"/>
          <w:szCs w:val="32"/>
          <w:highlight w:val="none"/>
          <w:lang w:val="zh-CN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highlight w:val="none"/>
          <w:lang w:val="zh-CN" w:eastAsia="zh-CN"/>
        </w:rPr>
        <w:t>（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highlight w:val="none"/>
          <w:lang w:val="en-US" w:eastAsia="zh-CN"/>
        </w:rPr>
        <w:t>三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highlight w:val="none"/>
          <w:lang w:val="zh-CN" w:eastAsia="zh-CN"/>
        </w:rPr>
        <w:t>）推荐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highlight w:val="none"/>
          <w:lang w:val="en-US" w:eastAsia="zh-CN"/>
        </w:rPr>
        <w:t>中标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highlight w:val="none"/>
          <w:lang w:val="zh-CN" w:eastAsia="zh-CN"/>
        </w:rPr>
        <w:t>候选人</w:t>
      </w:r>
    </w:p>
    <w:p w14:paraId="0C3E9E0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</w:pPr>
      <w:r>
        <w:rPr>
          <w:rFonts w:hint="eastAsia" w:eastAsia="仿宋_GB2312" w:cs="Times New Roman"/>
          <w:sz w:val="32"/>
          <w:szCs w:val="32"/>
          <w:highlight w:val="none"/>
          <w:lang w:val="zh-CN" w:eastAsia="zh-CN"/>
        </w:rPr>
        <w:t>评审小组根据综合评分情况，按照评审得分由高到低顺序推荐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zh-CN" w:eastAsia="zh-CN"/>
        </w:rPr>
        <w:t>名</w:t>
      </w:r>
      <w:r>
        <w:rPr>
          <w:rFonts w:hint="eastAsia" w:eastAsia="仿宋_GB2312" w:cs="Times New Roman"/>
          <w:sz w:val="32"/>
          <w:szCs w:val="32"/>
          <w:highlight w:val="none"/>
          <w:lang w:val="zh-CN" w:eastAsia="zh-CN"/>
        </w:rPr>
        <w:t>中标候选人。</w:t>
      </w:r>
      <w:r>
        <w:rPr>
          <w:rFonts w:hint="eastAsia" w:eastAsia="仿宋_GB2312" w:cs="Times New Roman"/>
          <w:sz w:val="32"/>
          <w:szCs w:val="32"/>
          <w:highlight w:val="none"/>
          <w:lang w:val="en-US" w:eastAsia="zh-CN"/>
        </w:rPr>
        <w:t>如最高得分为两家或两家以上时，由采购人组成的磋商小组进行磋商确定。</w:t>
      </w:r>
    </w:p>
    <w:p w14:paraId="76DA6D8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default" w:eastAsia="仿宋_GB2312" w:cs="Times New Roman"/>
          <w:sz w:val="32"/>
          <w:szCs w:val="32"/>
          <w:highlight w:val="none"/>
          <w:lang w:val="en-US" w:eastAsia="zh-CN"/>
        </w:rPr>
      </w:pPr>
    </w:p>
    <w:p w14:paraId="1D47FB4E">
      <w:pPr>
        <w:pStyle w:val="9"/>
        <w:spacing w:before="100" w:after="100"/>
        <w:ind w:left="0" w:leftChars="0" w:firstLine="0" w:firstLineChars="0"/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</w:pPr>
    </w:p>
    <w:p w14:paraId="3C3A606C">
      <w:pPr>
        <w:pStyle w:val="9"/>
        <w:spacing w:before="100" w:after="100"/>
        <w:ind w:left="0" w:leftChars="0" w:firstLine="0" w:firstLineChars="0"/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</w:pPr>
    </w:p>
    <w:p w14:paraId="40348F49">
      <w:pPr>
        <w:pStyle w:val="9"/>
        <w:spacing w:before="100" w:after="100"/>
        <w:ind w:left="0" w:leftChars="0" w:firstLine="0" w:firstLineChars="0"/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</w:pPr>
    </w:p>
    <w:p w14:paraId="48907E10">
      <w:pPr>
        <w:pStyle w:val="9"/>
        <w:spacing w:before="100" w:after="100"/>
        <w:ind w:left="0" w:leftChars="0" w:firstLine="0" w:firstLineChars="0"/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</w:pPr>
    </w:p>
    <w:p w14:paraId="459AD5E5">
      <w:pPr>
        <w:pStyle w:val="9"/>
        <w:spacing w:before="100" w:after="100"/>
        <w:ind w:left="0" w:leftChars="0" w:firstLine="0" w:firstLineChars="0"/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</w:pPr>
    </w:p>
    <w:p w14:paraId="742B2038">
      <w:pPr>
        <w:pStyle w:val="9"/>
        <w:spacing w:before="100" w:after="100"/>
        <w:ind w:left="0" w:leftChars="0" w:firstLine="0" w:firstLineChars="0"/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</w:pPr>
    </w:p>
    <w:p w14:paraId="75C27517">
      <w:pPr>
        <w:pStyle w:val="9"/>
        <w:spacing w:before="100" w:after="100"/>
        <w:ind w:left="0" w:leftChars="0" w:firstLine="0" w:firstLineChars="0"/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</w:pPr>
    </w:p>
    <w:p w14:paraId="1C67CC63">
      <w:pPr>
        <w:pStyle w:val="9"/>
        <w:spacing w:before="100" w:after="100"/>
        <w:ind w:left="0" w:leftChars="0" w:firstLine="0" w:firstLineChars="0"/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</w:pPr>
    </w:p>
    <w:p w14:paraId="58A81D34">
      <w:pPr>
        <w:pStyle w:val="9"/>
        <w:spacing w:before="100" w:after="100"/>
        <w:ind w:left="0" w:leftChars="0" w:firstLine="0" w:firstLineChars="0"/>
        <w:rPr>
          <w:rFonts w:hint="default" w:eastAsia="仿宋_GB2312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>附件3</w:t>
      </w:r>
    </w:p>
    <w:p w14:paraId="5B198A0B"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廉洁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自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律承诺书</w:t>
      </w:r>
    </w:p>
    <w:p w14:paraId="5D29219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</w:p>
    <w:p w14:paraId="27542E3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致: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 xml:space="preserve">      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公司</w:t>
      </w:r>
    </w:p>
    <w:p w14:paraId="7FC8DC1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为维护公平竞争的市场环境，确保经济活动的廉洁性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合法性和透明度，防止任何形式的不正当交易及腐败行为，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我单位作为投标人，郑重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承诺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如下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:</w:t>
      </w:r>
    </w:p>
    <w:p w14:paraId="744E56CC">
      <w:pPr>
        <w:pStyle w:val="12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afterLines="0" w:line="560" w:lineRule="exact"/>
        <w:ind w:firstLine="640" w:firstLineChars="200"/>
        <w:jc w:val="both"/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1.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严格遵守国家及地方关于招投标、市场竞争的相关法律法规，不使用不正当手段妨碍、排挤相关投标单位或串通投标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。</w:t>
      </w:r>
    </w:p>
    <w:p w14:paraId="5086F43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2.不以任何形式(包括但不限于现金、礼品、有价证券回扣、佣金、提供旅游、娱乐活动等)向招标人员、评标专家或其他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利害关系方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进行贿赂或给予不正当利益。</w:t>
      </w:r>
    </w:p>
    <w:p w14:paraId="44F6FF0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3.不进行任何可能影响招标公平、公正的活动或尝试干预评标过程。</w:t>
      </w:r>
    </w:p>
    <w:p w14:paraId="357B33E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如违反上述承诺，我单位愿意接受包括但不限于取消投标资格、中标无效、列入不良行为记录名单等，给招标单位造成损失的，依法承担赔偿责任。</w:t>
      </w:r>
    </w:p>
    <w:p w14:paraId="683DD1F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特此承诺。</w:t>
      </w:r>
    </w:p>
    <w:p w14:paraId="57FC1B55">
      <w:pPr>
        <w:ind w:firstLine="6400" w:firstLineChars="2000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1DC1AF40">
      <w:pPr>
        <w:ind w:firstLine="4160" w:firstLineChars="13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单位名称(盖章)</w:t>
      </w:r>
    </w:p>
    <w:p w14:paraId="1CAD3A3B">
      <w:pPr>
        <w:ind w:firstLine="4160" w:firstLineChars="13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日期:</w:t>
      </w:r>
    </w:p>
    <w:p w14:paraId="2B5014D8">
      <w:pPr>
        <w:rPr>
          <w:rFonts w:hint="default"/>
          <w:lang w:val="en-US" w:eastAsia="zh-CN"/>
        </w:rPr>
      </w:pPr>
    </w:p>
    <w:p w14:paraId="1EC53F48"/>
    <w:p w14:paraId="480780F4"/>
    <w:p w14:paraId="589CFD4B"/>
    <w:sectPr>
      <w:pgSz w:w="11906" w:h="16838"/>
      <w:pgMar w:top="1440" w:right="1519" w:bottom="1440" w:left="1519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96C1656"/>
    <w:rsid w:val="2D3426A8"/>
    <w:rsid w:val="35F3160E"/>
    <w:rsid w:val="36E637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qFormat="1" w:uiPriority="99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qFormat="1" w:unhideWhenUsed="0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qFormat="1"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qFormat/>
    <w:uiPriority w:val="0"/>
    <w:pPr>
      <w:keepNext/>
      <w:keepLines/>
      <w:spacing w:before="100" w:beforeLines="0" w:beforeAutospacing="0" w:after="100" w:afterLines="0" w:afterAutospacing="0" w:line="240" w:lineRule="auto"/>
      <w:ind w:firstLine="0" w:firstLineChars="0"/>
      <w:outlineLvl w:val="1"/>
    </w:pPr>
    <w:rPr>
      <w:b/>
      <w:sz w:val="32"/>
    </w:rPr>
  </w:style>
  <w:style w:type="character" w:default="1" w:styleId="11">
    <w:name w:val="Default Paragraph Font"/>
    <w:semiHidden/>
    <w:qFormat/>
    <w:uiPriority w:val="0"/>
  </w:style>
  <w:style w:type="table" w:default="1" w:styleId="10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next w:val="4"/>
    <w:semiHidden/>
    <w:qFormat/>
    <w:uiPriority w:val="0"/>
    <w:rPr>
      <w:rFonts w:ascii="宋体" w:hAnsi="宋体" w:eastAsia="宋体" w:cs="宋体"/>
      <w:sz w:val="28"/>
      <w:szCs w:val="28"/>
      <w:lang w:val="en-US" w:eastAsia="en-US" w:bidi="ar-SA"/>
    </w:rPr>
  </w:style>
  <w:style w:type="paragraph" w:styleId="4">
    <w:name w:val="Body Text 2"/>
    <w:basedOn w:val="1"/>
    <w:qFormat/>
    <w:uiPriority w:val="0"/>
    <w:pPr>
      <w:spacing w:line="480" w:lineRule="auto"/>
    </w:pPr>
    <w:rPr>
      <w:rFonts w:ascii="Times New Roman" w:hAnsi="Times New Roman" w:eastAsia="宋体" w:cs="Times New Roman"/>
    </w:rPr>
  </w:style>
  <w:style w:type="paragraph" w:styleId="5">
    <w:name w:val="Body Text Indent"/>
    <w:basedOn w:val="1"/>
    <w:next w:val="6"/>
    <w:qFormat/>
    <w:uiPriority w:val="99"/>
    <w:pPr>
      <w:spacing w:after="120"/>
      <w:ind w:left="420" w:leftChars="200"/>
    </w:pPr>
  </w:style>
  <w:style w:type="paragraph" w:styleId="6">
    <w:name w:val="envelope return"/>
    <w:basedOn w:val="1"/>
    <w:unhideWhenUsed/>
    <w:qFormat/>
    <w:uiPriority w:val="99"/>
    <w:pPr>
      <w:widowControl w:val="0"/>
      <w:snapToGrid w:val="0"/>
      <w:jc w:val="both"/>
    </w:pPr>
    <w:rPr>
      <w:rFonts w:ascii="Arial" w:hAnsi="Arial" w:eastAsia="宋体" w:cs="Times New Roman"/>
      <w:kern w:val="2"/>
      <w:sz w:val="21"/>
      <w:szCs w:val="22"/>
      <w:lang w:val="en-US" w:eastAsia="zh-CN" w:bidi="ar-SA"/>
    </w:rPr>
  </w:style>
  <w:style w:type="paragraph" w:styleId="7">
    <w:name w:val="Plain Text"/>
    <w:basedOn w:val="1"/>
    <w:qFormat/>
    <w:uiPriority w:val="0"/>
    <w:rPr>
      <w:sz w:val="24"/>
    </w:rPr>
  </w:style>
  <w:style w:type="paragraph" w:styleId="8">
    <w:name w:val="Body Text First Indent"/>
    <w:basedOn w:val="3"/>
    <w:next w:val="9"/>
    <w:qFormat/>
    <w:uiPriority w:val="0"/>
    <w:pPr>
      <w:ind w:firstLine="420" w:firstLineChars="100"/>
    </w:pPr>
    <w:rPr>
      <w:rFonts w:ascii="宋体" w:hAnsi="Times New Roman" w:eastAsia="宋体" w:cs="Times New Roman"/>
      <w:kern w:val="0"/>
      <w:sz w:val="34"/>
      <w:szCs w:val="20"/>
    </w:rPr>
  </w:style>
  <w:style w:type="paragraph" w:styleId="9">
    <w:name w:val="Body Text First Indent 2"/>
    <w:basedOn w:val="5"/>
    <w:next w:val="1"/>
    <w:qFormat/>
    <w:uiPriority w:val="0"/>
    <w:pPr>
      <w:adjustRightInd w:val="0"/>
      <w:snapToGrid w:val="0"/>
      <w:spacing w:beforeAutospacing="1" w:afterAutospacing="1" w:line="360" w:lineRule="auto"/>
      <w:ind w:left="480" w:firstLine="562" w:firstLineChars="200"/>
      <w:jc w:val="left"/>
    </w:pPr>
    <w:rPr>
      <w:rFonts w:hint="eastAsia" w:ascii="仿宋_GB2312" w:hAnsi="仿宋_GB2312" w:cs="Times New Roman"/>
      <w:szCs w:val="30"/>
      <w:lang w:eastAsia="en-US"/>
    </w:rPr>
  </w:style>
  <w:style w:type="paragraph" w:customStyle="1" w:styleId="12">
    <w:name w:val="Body Text First Indent"/>
    <w:basedOn w:val="3"/>
    <w:qFormat/>
    <w:uiPriority w:val="0"/>
    <w:pPr>
      <w:adjustRightInd w:val="0"/>
      <w:spacing w:line="312" w:lineRule="atLeast"/>
      <w:ind w:firstLine="420"/>
      <w:textAlignment w:val="baseline"/>
    </w:pPr>
    <w:rPr>
      <w:kern w:val="0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1469</Words>
  <Characters>1515</Characters>
  <Lines>0</Lines>
  <Paragraphs>0</Paragraphs>
  <TotalTime>0</TotalTime>
  <ScaleCrop>false</ScaleCrop>
  <LinksUpToDate>false</LinksUpToDate>
  <CharactersWithSpaces>1563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WPS_1658882146</cp:lastModifiedBy>
  <dcterms:modified xsi:type="dcterms:W3CDTF">2026-10-22T01:51:00Z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eyJoZGlkIjoiZTEyNWQ3YzgzNDQ2MWYxMjVmYTk4MzMzOWZhNjVlNjIiLCJ1c2VySWQiOiIyMzM4OTQ3MjYifQ==</vt:lpwstr>
  </property>
  <property fmtid="{D5CDD505-2E9C-101B-9397-08002B2CF9AE}" pid="4" name="ICV">
    <vt:lpwstr>B947C80680234EE58B19E2E2B9B51A38_13</vt:lpwstr>
  </property>
</Properties>
</file>