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4FB8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附件1</w:t>
      </w:r>
    </w:p>
    <w:p w14:paraId="1A529DFC">
      <w:pPr>
        <w:shd w:val="clear" w:color="auto" w:fill="auto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报价单</w:t>
      </w:r>
    </w:p>
    <w:p w14:paraId="578B334D">
      <w:pPr>
        <w:shd w:val="clear" w:color="auto" w:fill="auto"/>
        <w:spacing w:line="560" w:lineRule="exact"/>
        <w:jc w:val="center"/>
        <w:rPr>
          <w:rFonts w:ascii="仿宋_GB2312" w:hAnsi="仿宋" w:eastAsia="仿宋_GB2312" w:cs="仿宋"/>
          <w:b/>
          <w:sz w:val="32"/>
          <w:szCs w:val="32"/>
        </w:rPr>
      </w:pPr>
    </w:p>
    <w:tbl>
      <w:tblPr>
        <w:tblStyle w:val="13"/>
        <w:tblW w:w="868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34"/>
        <w:gridCol w:w="5549"/>
      </w:tblGrid>
      <w:tr w14:paraId="457E1CD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4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58E61B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项目名称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4593F0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  <w:t>许昌市胖东来天使城生活服务圈公共停车及配套设施提升工程-科技广场区域项目监理</w:t>
            </w:r>
          </w:p>
        </w:tc>
      </w:tr>
      <w:tr w14:paraId="3651731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4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1A08B72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申请人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12F687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color w:val="000000"/>
                <w:sz w:val="32"/>
                <w:szCs w:val="32"/>
                <w:lang w:val="en-US" w:eastAsia="zh-CN"/>
              </w:rPr>
              <w:t>公司名称***</w:t>
            </w:r>
          </w:p>
        </w:tc>
      </w:tr>
      <w:tr w14:paraId="6428FAE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3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BE5DAA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申请人资质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5FF001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</w:rPr>
            </w:pPr>
          </w:p>
        </w:tc>
      </w:tr>
      <w:tr w14:paraId="43EBE47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9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C530EF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项目负责人（职务）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183B66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</w:rPr>
            </w:pPr>
          </w:p>
        </w:tc>
      </w:tr>
      <w:tr w14:paraId="2E597FA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9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661DE8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val="en-US" w:eastAsia="zh-CN" w:bidi="ar"/>
              </w:rPr>
              <w:t>项目工作内容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E4D20D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</w:pPr>
          </w:p>
        </w:tc>
      </w:tr>
      <w:tr w14:paraId="0B78E69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4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555AB3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报价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AD5C97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val="en-US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u w:val="single"/>
                <w:lang w:bidi="ar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u w:val="single"/>
                <w:lang w:val="en-US" w:eastAsia="zh-CN" w:bidi="ar"/>
              </w:rPr>
              <w:t xml:space="preserve">   元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（含税）</w:t>
            </w:r>
          </w:p>
        </w:tc>
      </w:tr>
    </w:tbl>
    <w:p w14:paraId="4D598A37">
      <w:pPr>
        <w:shd w:val="clear" w:color="auto" w:fill="auto"/>
        <w:adjustRightInd w:val="0"/>
        <w:spacing w:line="560" w:lineRule="exact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2BF41D22">
      <w:pPr>
        <w:shd w:val="clear" w:color="auto" w:fill="auto"/>
        <w:adjustRightInd w:val="0"/>
        <w:spacing w:line="560" w:lineRule="exact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2E354F31">
      <w:pPr>
        <w:pStyle w:val="2"/>
        <w:ind w:firstLine="5461" w:firstLineChars="17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年    月    日</w:t>
      </w:r>
    </w:p>
    <w:p w14:paraId="394BB9E8">
      <w:pP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20E11217">
      <w:pP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3E6485DC">
      <w:pP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附件2</w:t>
      </w:r>
    </w:p>
    <w:p w14:paraId="5C82FC14">
      <w:pPr>
        <w:pStyle w:val="7"/>
        <w:spacing w:line="240" w:lineRule="auto"/>
        <w:ind w:firstLine="0" w:firstLineChars="0"/>
        <w:contextualSpacing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zh-CN"/>
        </w:rPr>
        <w:t>评标标准</w:t>
      </w:r>
    </w:p>
    <w:p w14:paraId="39EA38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  <w:t>一、资格审查</w:t>
      </w:r>
    </w:p>
    <w:p w14:paraId="6D5378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FF0000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评审小组对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申请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人资格进行检查。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确定符合资格的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申请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人不少于3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 w:eastAsia="zh-CN"/>
        </w:rPr>
        <w:t>家后对投标文件进行符合性审查，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少于三家则本次评标过程无效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 w:eastAsia="zh-CN"/>
        </w:rPr>
        <w:t>。</w:t>
      </w:r>
    </w:p>
    <w:p w14:paraId="2DAB66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二、评审</w:t>
      </w:r>
    </w:p>
    <w:p w14:paraId="09F58F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  <w:t>（一）评审方法</w:t>
      </w:r>
    </w:p>
    <w:p w14:paraId="14797E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zh-CN" w:eastAsia="zh-CN"/>
        </w:rPr>
        <w:t>本项目采用综合评分法。总分为 100 分。</w:t>
      </w:r>
    </w:p>
    <w:p w14:paraId="6C347C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  <w:t>（二）评分办法</w:t>
      </w:r>
    </w:p>
    <w:tbl>
      <w:tblPr>
        <w:tblStyle w:val="13"/>
        <w:tblW w:w="96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3"/>
        <w:gridCol w:w="6786"/>
      </w:tblGrid>
      <w:tr w14:paraId="10F01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1" w:hRule="atLeast"/>
          <w:jc w:val="center"/>
        </w:trPr>
        <w:tc>
          <w:tcPr>
            <w:tcW w:w="2913" w:type="dxa"/>
            <w:vAlign w:val="center"/>
          </w:tcPr>
          <w:p w14:paraId="6E480701">
            <w:pPr>
              <w:tabs>
                <w:tab w:val="left" w:pos="1260"/>
              </w:tabs>
              <w:autoSpaceDE w:val="0"/>
              <w:autoSpaceDN w:val="0"/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分值构成</w:t>
            </w:r>
          </w:p>
          <w:p w14:paraId="332F293D">
            <w:pPr>
              <w:tabs>
                <w:tab w:val="left" w:pos="1260"/>
              </w:tabs>
              <w:autoSpaceDE w:val="0"/>
              <w:autoSpaceDN w:val="0"/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(总分100分)</w:t>
            </w:r>
          </w:p>
        </w:tc>
        <w:tc>
          <w:tcPr>
            <w:tcW w:w="6786" w:type="dxa"/>
            <w:vAlign w:val="center"/>
          </w:tcPr>
          <w:p w14:paraId="79535A2F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 xml:space="preserve">投标报价：30 分 </w:t>
            </w:r>
          </w:p>
          <w:p w14:paraId="73778C94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 xml:space="preserve">监理大纲：30 分 </w:t>
            </w:r>
          </w:p>
          <w:p w14:paraId="4AA463CC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 xml:space="preserve">资信业绩：37 分 </w:t>
            </w:r>
          </w:p>
          <w:p w14:paraId="60CEAF32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hint="eastAsia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其他因素：3 分</w:t>
            </w:r>
          </w:p>
        </w:tc>
      </w:tr>
      <w:tr w14:paraId="67401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29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5914B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评审项</w:t>
            </w:r>
          </w:p>
        </w:tc>
        <w:tc>
          <w:tcPr>
            <w:tcW w:w="67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4B08B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评标标准</w:t>
            </w:r>
          </w:p>
        </w:tc>
      </w:tr>
      <w:tr w14:paraId="362EE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29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35C9B">
            <w:pPr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投标报价</w:t>
            </w:r>
          </w:p>
          <w:p w14:paraId="70A580A7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（30分）</w:t>
            </w:r>
          </w:p>
        </w:tc>
        <w:tc>
          <w:tcPr>
            <w:tcW w:w="67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36705">
            <w:pPr>
              <w:numPr>
                <w:ilvl w:val="0"/>
                <w:numId w:val="1"/>
              </w:numPr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投标报价高于控制价的为无效报价；</w:t>
            </w:r>
          </w:p>
          <w:p w14:paraId="6BE71AAC">
            <w:pPr>
              <w:numPr>
                <w:ilvl w:val="0"/>
                <w:numId w:val="1"/>
              </w:numPr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所有参与的比选申请人最低的有效报价为基准报价；</w:t>
            </w:r>
          </w:p>
          <w:p w14:paraId="2DC7F2EB">
            <w:pPr>
              <w:numPr>
                <w:ilvl w:val="0"/>
                <w:numId w:val="0"/>
              </w:numPr>
              <w:ind w:leftChars="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3.报价得分=（基准报价/报价）×30分。</w:t>
            </w:r>
          </w:p>
        </w:tc>
      </w:tr>
      <w:tr w14:paraId="67D29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9" w:hRule="atLeast"/>
          <w:jc w:val="center"/>
        </w:trPr>
        <w:tc>
          <w:tcPr>
            <w:tcW w:w="29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603C2">
            <w:pPr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监理大纲</w:t>
            </w:r>
          </w:p>
          <w:p w14:paraId="788E25E2">
            <w:pPr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分）</w:t>
            </w:r>
          </w:p>
        </w:tc>
        <w:tc>
          <w:tcPr>
            <w:tcW w:w="67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CF83E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质量控制：总体质量控制目标满足招标文件要求，且对质量控制目标进行了合理分解、规划（0-6分）； </w:t>
            </w:r>
          </w:p>
          <w:p w14:paraId="35EB1A3B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进度控制：对总体进度目标分解合理，能体现预控和全面控制能力（0-6分）；</w:t>
            </w:r>
          </w:p>
          <w:p w14:paraId="4A75F734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安全措施：安全控制措施周密，安全控制手段合理（0-6分）；</w:t>
            </w:r>
          </w:p>
          <w:p w14:paraId="14848B37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4.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档案及合同管理：工程档案管理措施切实可行，并设置专职人员进行管理（0-6分）；</w:t>
            </w:r>
          </w:p>
          <w:p w14:paraId="6B1BB130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5.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工作制度：根据验收制度、签证制度、会议制度、公司对项目监理机构的监控制度、季报(月报)制度、公司对项目监理机构的奖惩考核制度等各项制度健全完善情况，酌情打分（0-6分）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。</w:t>
            </w:r>
          </w:p>
        </w:tc>
      </w:tr>
      <w:tr w14:paraId="78D02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4" w:hRule="atLeast"/>
          <w:jc w:val="center"/>
        </w:trPr>
        <w:tc>
          <w:tcPr>
            <w:tcW w:w="29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B74F7">
            <w:pPr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资信业绩</w:t>
            </w:r>
          </w:p>
          <w:p w14:paraId="65E01F51">
            <w:pPr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（37分）</w:t>
            </w:r>
          </w:p>
        </w:tc>
        <w:tc>
          <w:tcPr>
            <w:tcW w:w="67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190D6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1.企业业绩：自2023年1月1日以来，投标人具有类似市政项目业绩的，每项得5分，最高得15分。时间以合同签订时间为准，需提供中标通知书、合同协议书复印件及公示网页版截图。</w:t>
            </w:r>
          </w:p>
          <w:p w14:paraId="38C6F97A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.企业荣誉：自2023年1月1日以来获得过省级及以上优秀工程监理企业（诚信建设先进企业）奖项得5分；市级的得3分，本项最高得15分。时间以证书日期为准，以关于获奖项目通知的红头文件及证书的原件扫描件（或图片）为准；同一项目不同获奖不重复计分。</w:t>
            </w:r>
          </w:p>
          <w:p w14:paraId="36D4D151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.项目监理机构人员配备：（1）投标人拟派项目监理机构人员，须包括项目负责人(总监理工程师)、总监理工程师代表、专业监理工程师、造价工程师、监理员、安全员、见证员、资料员等专职人员配备齐全得2分，缺项不得分；（2）投标人拟派项目监理机构中除项目负责人(总监理 工程师) 以外的其他人员，每具备一名高级工程师的得1 分，本项最高得3分；（3）投标人拟派项目监理机构人员具有注册安全工程师的得2分，本项最高得2分。</w:t>
            </w:r>
          </w:p>
          <w:p w14:paraId="24621DC7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both"/>
              <w:rPr>
                <w:rFonts w:hint="eastAsia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注：投标文件中须附项目监理机构人员相关证书的复印件，不提供者不得分。</w:t>
            </w:r>
          </w:p>
        </w:tc>
      </w:tr>
      <w:tr w14:paraId="4D43E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2" w:hRule="atLeast"/>
          <w:jc w:val="center"/>
        </w:trPr>
        <w:tc>
          <w:tcPr>
            <w:tcW w:w="29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FD0D6">
            <w:pPr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其他因素</w:t>
            </w:r>
          </w:p>
          <w:p w14:paraId="0AFED2F2">
            <w:pPr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（3分）</w:t>
            </w:r>
          </w:p>
        </w:tc>
        <w:tc>
          <w:tcPr>
            <w:tcW w:w="67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049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7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 xml:space="preserve">服务承诺：投标人对以下事项进行承诺，每具有一项得 1分，没有承诺的不得分； 须包含但不限于： </w:t>
            </w:r>
          </w:p>
          <w:p w14:paraId="622C08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7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项目班子成员服务管理承诺(1分)；</w:t>
            </w:r>
          </w:p>
          <w:p w14:paraId="057B71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7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 xml:space="preserve">质量、进度、安全、环保等承诺(1分)； </w:t>
            </w:r>
          </w:p>
          <w:p w14:paraId="21CF6A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7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项目现场常驻监理人员不少于3人的承诺(1分)。</w:t>
            </w:r>
          </w:p>
          <w:p w14:paraId="11CA2927">
            <w:pPr>
              <w:adjustRightInd w:val="0"/>
              <w:snapToGrid w:val="0"/>
              <w:spacing w:line="276" w:lineRule="auto"/>
              <w:jc w:val="left"/>
              <w:rPr>
                <w:rFonts w:hint="default"/>
                <w:color w:val="auto"/>
                <w:lang w:val="en-US" w:eastAsia="zh-CN"/>
              </w:rPr>
            </w:pPr>
          </w:p>
        </w:tc>
      </w:tr>
    </w:tbl>
    <w:p w14:paraId="258406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  <w:t>）推荐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中标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  <w:t>候选人</w:t>
      </w:r>
    </w:p>
    <w:p w14:paraId="1D3066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评审小组根据综合评分情况，按照评审得分由高到低顺序推荐1名中标候选人。如最高得分为两家或两家以上时，由采购人组成的磋商小组进行磋商确定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。</w:t>
      </w:r>
    </w:p>
    <w:p w14:paraId="6AA505C1">
      <w:pPr>
        <w:pStyle w:val="12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161CE001">
      <w:pPr>
        <w:pStyle w:val="12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177F1BAB">
      <w:pPr>
        <w:pStyle w:val="12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7F9659EB">
      <w:pPr>
        <w:pStyle w:val="12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1D840E5A">
      <w:pPr>
        <w:pStyle w:val="12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2E8C915F">
      <w:pPr>
        <w:pStyle w:val="12"/>
        <w:spacing w:before="100" w:after="100"/>
        <w:ind w:left="0" w:leftChars="0" w:firstLine="0" w:firstLineChars="0"/>
        <w:rPr>
          <w:rFonts w:hint="default" w:eastAsia="仿宋_GB231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附件3：</w:t>
      </w:r>
    </w:p>
    <w:p w14:paraId="3FE68D1E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廉洁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自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律承诺书</w:t>
      </w:r>
    </w:p>
    <w:p w14:paraId="0C59F5D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6477B2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致: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公司</w:t>
      </w:r>
    </w:p>
    <w:p w14:paraId="0295E6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为维护公平竞争的市场环境，确保经济活动的廉洁性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合法性和透明度，防止任何形式的不正当交易及腐败行为，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我单位作为投标人，郑重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承诺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如下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:</w:t>
      </w:r>
    </w:p>
    <w:p w14:paraId="7F63C4FF">
      <w:pPr>
        <w:pStyle w:val="1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严格遵守国家及地方关于招投标、市场竞争的相关法律法规，不使用不正当手段妨碍、排挤相关投标单位或串通投标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 w14:paraId="3A82C9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2.不以任何形式(包括但不限于现金、礼品、有价证券回扣、佣金、提供旅游、娱乐活动等)向招标人员、评标专家或其他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利害关系方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进行贿赂或给予不正当利益。</w:t>
      </w:r>
    </w:p>
    <w:p w14:paraId="0038F4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3.不进行任何可能影响招标公平、公正的活动或尝试干预评标过程。</w:t>
      </w:r>
    </w:p>
    <w:p w14:paraId="0C5BDD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如违反上述承诺，我单位愿意接受包括但不限于取消投标资格、中标无效、列入不良行为记录名单等，给招标单位造成损失的，依法承担赔偿责任。</w:t>
      </w:r>
    </w:p>
    <w:p w14:paraId="5370ED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特此承诺。</w:t>
      </w:r>
    </w:p>
    <w:p w14:paraId="466F5FC5">
      <w:pPr>
        <w:ind w:firstLine="6400" w:firstLineChars="20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3249F06">
      <w:pPr>
        <w:ind w:firstLine="4160" w:firstLineChars="13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单位名称(盖章)</w:t>
      </w:r>
    </w:p>
    <w:p w14:paraId="322375C1">
      <w:pPr>
        <w:ind w:firstLine="4160" w:firstLineChars="13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日期:</w:t>
      </w:r>
    </w:p>
    <w:p w14:paraId="624CC397"/>
    <w:p w14:paraId="5DCBBBB6"/>
    <w:p w14:paraId="738E7A53">
      <w:pPr>
        <w:pStyle w:val="12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附件4：</w:t>
      </w:r>
    </w:p>
    <w:p w14:paraId="28C70B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right="0" w:rightChars="0" w:firstLine="880" w:firstLineChars="20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合同费用支付主要条款</w:t>
      </w:r>
    </w:p>
    <w:p w14:paraId="68D2A1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</w:p>
    <w:p w14:paraId="148A4DA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施工过程中根据工程形象进度支付施工单位工程款时，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按照本工程监理服务费占建安工程费比例同比例计量监理服务费，支付金额按下面公式计算：监理服务费=计量建安工程费*监理服务费占建安工程费比例*80%；竣工验收合格后，监理服务费支付金额至合同价的90%；项目结算评审完成后，监理服务费结算支付至合同价*97%；剩余3%监理服务费结算金额作为质量保证金（质量保证金不计利息），缺陷责任期满后支付。</w:t>
      </w:r>
    </w:p>
    <w:p w14:paraId="5BBAD3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每次付款前需向发包人提供对应金额的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符合财务要求的增值税专用发票，否则发包人有权拒绝付款且不承担任何违约责任。</w:t>
      </w:r>
    </w:p>
    <w:p w14:paraId="63BAB5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履约保证金数额为中标合同金额的10%，合同签订后10日内办理完成。</w:t>
      </w:r>
    </w:p>
    <w:p w14:paraId="032A881A">
      <w:pPr>
        <w:pStyle w:val="12"/>
        <w:spacing w:before="100" w:after="100"/>
        <w:ind w:left="0" w:leftChars="0" w:firstLine="0" w:firstLineChars="0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34DF73C9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A7566A4E-223A-49B4-9FE6-927D6EE0F7E7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6517D2C7-0AE8-4E9E-94C0-B82ACC3CF63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CED187CA-BD65-459A-8CA0-BA62897C4ED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B57573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7FDC80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7FDC80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0B00E1"/>
    <w:multiLevelType w:val="singleLevel"/>
    <w:tmpl w:val="9C0B00E1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0B8C0093"/>
    <w:multiLevelType w:val="singleLevel"/>
    <w:tmpl w:val="0B8C009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E4766F"/>
    <w:rsid w:val="019150A2"/>
    <w:rsid w:val="01CA216C"/>
    <w:rsid w:val="01EF3980"/>
    <w:rsid w:val="022C0730"/>
    <w:rsid w:val="02447828"/>
    <w:rsid w:val="028B18FB"/>
    <w:rsid w:val="03630182"/>
    <w:rsid w:val="03B60333"/>
    <w:rsid w:val="03FD2384"/>
    <w:rsid w:val="040F67E2"/>
    <w:rsid w:val="04311D7B"/>
    <w:rsid w:val="045529F1"/>
    <w:rsid w:val="04EC17F6"/>
    <w:rsid w:val="053E7D2E"/>
    <w:rsid w:val="05CF7D50"/>
    <w:rsid w:val="06316315"/>
    <w:rsid w:val="065169B7"/>
    <w:rsid w:val="073F6AF1"/>
    <w:rsid w:val="07837045"/>
    <w:rsid w:val="07C35693"/>
    <w:rsid w:val="07EA2C20"/>
    <w:rsid w:val="08E4766F"/>
    <w:rsid w:val="08F35052"/>
    <w:rsid w:val="09012917"/>
    <w:rsid w:val="09047D11"/>
    <w:rsid w:val="095C7FA3"/>
    <w:rsid w:val="096F5AD2"/>
    <w:rsid w:val="097A7FD3"/>
    <w:rsid w:val="09A60DC8"/>
    <w:rsid w:val="0A3B59B5"/>
    <w:rsid w:val="0B0264D2"/>
    <w:rsid w:val="0BB93035"/>
    <w:rsid w:val="0CD8573D"/>
    <w:rsid w:val="0DEF71E2"/>
    <w:rsid w:val="0F6A6D45"/>
    <w:rsid w:val="121865DB"/>
    <w:rsid w:val="12A6008B"/>
    <w:rsid w:val="12D06EB6"/>
    <w:rsid w:val="12DA1AE3"/>
    <w:rsid w:val="13645F7C"/>
    <w:rsid w:val="13BD35E6"/>
    <w:rsid w:val="13BD38DE"/>
    <w:rsid w:val="13E0137B"/>
    <w:rsid w:val="14DE58BA"/>
    <w:rsid w:val="16351E52"/>
    <w:rsid w:val="16AA5BFF"/>
    <w:rsid w:val="17D42FA4"/>
    <w:rsid w:val="17FB49D5"/>
    <w:rsid w:val="180746CD"/>
    <w:rsid w:val="188E75F7"/>
    <w:rsid w:val="18F558C8"/>
    <w:rsid w:val="18F90F15"/>
    <w:rsid w:val="1954439D"/>
    <w:rsid w:val="19742C91"/>
    <w:rsid w:val="197E141A"/>
    <w:rsid w:val="1A085FD3"/>
    <w:rsid w:val="1A4E34E2"/>
    <w:rsid w:val="1A546500"/>
    <w:rsid w:val="1A8B0292"/>
    <w:rsid w:val="1ABD4218"/>
    <w:rsid w:val="1B656D35"/>
    <w:rsid w:val="1B972C67"/>
    <w:rsid w:val="1B9735D8"/>
    <w:rsid w:val="1C790312"/>
    <w:rsid w:val="1C884B8C"/>
    <w:rsid w:val="1CB515F6"/>
    <w:rsid w:val="1D126A49"/>
    <w:rsid w:val="1D1673F4"/>
    <w:rsid w:val="1D882793"/>
    <w:rsid w:val="1E0D400B"/>
    <w:rsid w:val="1EE241F9"/>
    <w:rsid w:val="1FA93456"/>
    <w:rsid w:val="20141DB5"/>
    <w:rsid w:val="20A025BE"/>
    <w:rsid w:val="20A51982"/>
    <w:rsid w:val="210E5779"/>
    <w:rsid w:val="21102954"/>
    <w:rsid w:val="21425423"/>
    <w:rsid w:val="21A34113"/>
    <w:rsid w:val="21A954A2"/>
    <w:rsid w:val="2217240B"/>
    <w:rsid w:val="22671F9E"/>
    <w:rsid w:val="23CE2152"/>
    <w:rsid w:val="23DA524A"/>
    <w:rsid w:val="240D3AC6"/>
    <w:rsid w:val="246758CC"/>
    <w:rsid w:val="24B16B47"/>
    <w:rsid w:val="25076767"/>
    <w:rsid w:val="263170C3"/>
    <w:rsid w:val="2749750B"/>
    <w:rsid w:val="275F6D2E"/>
    <w:rsid w:val="27787DF0"/>
    <w:rsid w:val="27DC3E10"/>
    <w:rsid w:val="27EC6775"/>
    <w:rsid w:val="280A234B"/>
    <w:rsid w:val="28304227"/>
    <w:rsid w:val="28B210E0"/>
    <w:rsid w:val="28C11323"/>
    <w:rsid w:val="292C0E92"/>
    <w:rsid w:val="292C2C40"/>
    <w:rsid w:val="2BA74800"/>
    <w:rsid w:val="2BF10171"/>
    <w:rsid w:val="2C043A01"/>
    <w:rsid w:val="2D6055AE"/>
    <w:rsid w:val="2D782A6B"/>
    <w:rsid w:val="2DC86CB0"/>
    <w:rsid w:val="2DE0049D"/>
    <w:rsid w:val="2E1B5BCA"/>
    <w:rsid w:val="2E4B6478"/>
    <w:rsid w:val="2E913546"/>
    <w:rsid w:val="2F283EAA"/>
    <w:rsid w:val="2F2919D0"/>
    <w:rsid w:val="301F34FF"/>
    <w:rsid w:val="327411B4"/>
    <w:rsid w:val="33114C55"/>
    <w:rsid w:val="332C1A8F"/>
    <w:rsid w:val="33501744"/>
    <w:rsid w:val="33633703"/>
    <w:rsid w:val="33E74334"/>
    <w:rsid w:val="34666BD6"/>
    <w:rsid w:val="34A57D4B"/>
    <w:rsid w:val="35040F15"/>
    <w:rsid w:val="35D46B3A"/>
    <w:rsid w:val="35E52AF5"/>
    <w:rsid w:val="36596385"/>
    <w:rsid w:val="367207C6"/>
    <w:rsid w:val="36A55DE0"/>
    <w:rsid w:val="37AC319E"/>
    <w:rsid w:val="37C64260"/>
    <w:rsid w:val="37EA43F2"/>
    <w:rsid w:val="38003C16"/>
    <w:rsid w:val="389B749B"/>
    <w:rsid w:val="38C06F01"/>
    <w:rsid w:val="390B04A7"/>
    <w:rsid w:val="39FA5C2A"/>
    <w:rsid w:val="3A021146"/>
    <w:rsid w:val="3A7206CF"/>
    <w:rsid w:val="3B135A0E"/>
    <w:rsid w:val="3BC66F24"/>
    <w:rsid w:val="3BC92571"/>
    <w:rsid w:val="3C5809F1"/>
    <w:rsid w:val="3CB1422C"/>
    <w:rsid w:val="3DA908AC"/>
    <w:rsid w:val="3DDF7E2A"/>
    <w:rsid w:val="3E16027D"/>
    <w:rsid w:val="3E742C68"/>
    <w:rsid w:val="3E990920"/>
    <w:rsid w:val="3E9926CE"/>
    <w:rsid w:val="3EAD617A"/>
    <w:rsid w:val="3FB3156E"/>
    <w:rsid w:val="3FFF1345"/>
    <w:rsid w:val="40257AEB"/>
    <w:rsid w:val="40750F19"/>
    <w:rsid w:val="418036D2"/>
    <w:rsid w:val="41D00C05"/>
    <w:rsid w:val="420F2CA7"/>
    <w:rsid w:val="425C25C6"/>
    <w:rsid w:val="425F59DD"/>
    <w:rsid w:val="43346E69"/>
    <w:rsid w:val="4353542C"/>
    <w:rsid w:val="43A959FE"/>
    <w:rsid w:val="43EF2D90"/>
    <w:rsid w:val="446F7A2D"/>
    <w:rsid w:val="44733E68"/>
    <w:rsid w:val="453E5D7D"/>
    <w:rsid w:val="45B61DB8"/>
    <w:rsid w:val="45C049E4"/>
    <w:rsid w:val="46506E72"/>
    <w:rsid w:val="46BD2CD2"/>
    <w:rsid w:val="46C40F46"/>
    <w:rsid w:val="471072A6"/>
    <w:rsid w:val="48074B4D"/>
    <w:rsid w:val="48403BBB"/>
    <w:rsid w:val="48666871"/>
    <w:rsid w:val="491C63D6"/>
    <w:rsid w:val="49531994"/>
    <w:rsid w:val="49671123"/>
    <w:rsid w:val="499C12C5"/>
    <w:rsid w:val="4A407EA2"/>
    <w:rsid w:val="4B7047B7"/>
    <w:rsid w:val="4D113D78"/>
    <w:rsid w:val="4D16138E"/>
    <w:rsid w:val="4DF220F6"/>
    <w:rsid w:val="4E7520E4"/>
    <w:rsid w:val="4F5F526E"/>
    <w:rsid w:val="4FFF1E66"/>
    <w:rsid w:val="51314000"/>
    <w:rsid w:val="522A6CE4"/>
    <w:rsid w:val="52636E23"/>
    <w:rsid w:val="52850580"/>
    <w:rsid w:val="52A665A4"/>
    <w:rsid w:val="52D4387D"/>
    <w:rsid w:val="5328051C"/>
    <w:rsid w:val="53531EFE"/>
    <w:rsid w:val="535624E4"/>
    <w:rsid w:val="53C40DF9"/>
    <w:rsid w:val="5402266C"/>
    <w:rsid w:val="54AD25D8"/>
    <w:rsid w:val="54EB2E1F"/>
    <w:rsid w:val="55E42029"/>
    <w:rsid w:val="55F45FE4"/>
    <w:rsid w:val="56334D5F"/>
    <w:rsid w:val="574134AB"/>
    <w:rsid w:val="581B032E"/>
    <w:rsid w:val="582708F3"/>
    <w:rsid w:val="583F5C3D"/>
    <w:rsid w:val="586B6A32"/>
    <w:rsid w:val="58DE1F33"/>
    <w:rsid w:val="58FC4F69"/>
    <w:rsid w:val="5943350B"/>
    <w:rsid w:val="594352B9"/>
    <w:rsid w:val="59E051FD"/>
    <w:rsid w:val="5A513A05"/>
    <w:rsid w:val="5A5D684E"/>
    <w:rsid w:val="5AA224B3"/>
    <w:rsid w:val="5B0647F0"/>
    <w:rsid w:val="5B070568"/>
    <w:rsid w:val="5B136F0D"/>
    <w:rsid w:val="5B4B1EC1"/>
    <w:rsid w:val="5BBC0EAA"/>
    <w:rsid w:val="5C037EDF"/>
    <w:rsid w:val="5C221AFD"/>
    <w:rsid w:val="5C7659A5"/>
    <w:rsid w:val="5CC9362F"/>
    <w:rsid w:val="5CD10E2D"/>
    <w:rsid w:val="5D4A130C"/>
    <w:rsid w:val="5E3D49CC"/>
    <w:rsid w:val="5EEA6F8D"/>
    <w:rsid w:val="60196D73"/>
    <w:rsid w:val="60CE4002"/>
    <w:rsid w:val="62465E1A"/>
    <w:rsid w:val="62570809"/>
    <w:rsid w:val="627B1F67"/>
    <w:rsid w:val="628506F0"/>
    <w:rsid w:val="63275C4B"/>
    <w:rsid w:val="63FA61A4"/>
    <w:rsid w:val="651105D5"/>
    <w:rsid w:val="65501D46"/>
    <w:rsid w:val="65750EF0"/>
    <w:rsid w:val="658B25CF"/>
    <w:rsid w:val="65DC4ACB"/>
    <w:rsid w:val="67672ABA"/>
    <w:rsid w:val="67AA29A7"/>
    <w:rsid w:val="67CA4DF7"/>
    <w:rsid w:val="688431F8"/>
    <w:rsid w:val="68E87407"/>
    <w:rsid w:val="68EC771B"/>
    <w:rsid w:val="696C0215"/>
    <w:rsid w:val="69A91168"/>
    <w:rsid w:val="69AF0FBD"/>
    <w:rsid w:val="69B63885"/>
    <w:rsid w:val="6AC61BF3"/>
    <w:rsid w:val="6AEE0103"/>
    <w:rsid w:val="6B321631"/>
    <w:rsid w:val="6B785296"/>
    <w:rsid w:val="6B901CD8"/>
    <w:rsid w:val="6BA3608B"/>
    <w:rsid w:val="6C6B6BA9"/>
    <w:rsid w:val="6CA87639"/>
    <w:rsid w:val="6DFF1C9E"/>
    <w:rsid w:val="6E166FE8"/>
    <w:rsid w:val="6E2B6899"/>
    <w:rsid w:val="6E773123"/>
    <w:rsid w:val="6E7C3ECE"/>
    <w:rsid w:val="6FBE16E5"/>
    <w:rsid w:val="70967F6C"/>
    <w:rsid w:val="70F46376"/>
    <w:rsid w:val="716562BC"/>
    <w:rsid w:val="718B3849"/>
    <w:rsid w:val="71F47640"/>
    <w:rsid w:val="723D0FE7"/>
    <w:rsid w:val="72640322"/>
    <w:rsid w:val="7309711B"/>
    <w:rsid w:val="73165394"/>
    <w:rsid w:val="733F6699"/>
    <w:rsid w:val="736600CA"/>
    <w:rsid w:val="744E128A"/>
    <w:rsid w:val="748F53FE"/>
    <w:rsid w:val="763E0E8A"/>
    <w:rsid w:val="766227CC"/>
    <w:rsid w:val="768C7332"/>
    <w:rsid w:val="76F0487A"/>
    <w:rsid w:val="77426567"/>
    <w:rsid w:val="77493F8A"/>
    <w:rsid w:val="77AE3901"/>
    <w:rsid w:val="78174088"/>
    <w:rsid w:val="78574485"/>
    <w:rsid w:val="78770683"/>
    <w:rsid w:val="787943FB"/>
    <w:rsid w:val="78BD69DE"/>
    <w:rsid w:val="78E958F6"/>
    <w:rsid w:val="791F6178"/>
    <w:rsid w:val="7B08766C"/>
    <w:rsid w:val="7B9F65A8"/>
    <w:rsid w:val="7BE211F3"/>
    <w:rsid w:val="7C0B180E"/>
    <w:rsid w:val="7C594C70"/>
    <w:rsid w:val="7D0932A6"/>
    <w:rsid w:val="7D11554A"/>
    <w:rsid w:val="7DAD0FE3"/>
    <w:rsid w:val="7DC425BD"/>
    <w:rsid w:val="7DDA593C"/>
    <w:rsid w:val="7F370B6C"/>
    <w:rsid w:val="7FFB6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100" w:beforeLines="0" w:beforeAutospacing="0" w:after="100" w:afterLines="0" w:afterAutospacing="0" w:line="240" w:lineRule="auto"/>
      <w:ind w:firstLine="0" w:firstLineChars="0"/>
      <w:outlineLvl w:val="1"/>
    </w:pPr>
    <w:rPr>
      <w:b/>
      <w:sz w:val="32"/>
    </w:rPr>
  </w:style>
  <w:style w:type="character" w:default="1" w:styleId="14">
    <w:name w:val="Default Paragraph Font"/>
    <w:semiHidden/>
    <w:qFormat/>
    <w:uiPriority w:val="0"/>
    <w:rPr>
      <w:rFonts w:ascii="Calibri" w:hAnsi="Calibri" w:eastAsia="仿宋_GB2312"/>
      <w:sz w:val="32"/>
    </w:rPr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pPr>
      <w:jc w:val="center"/>
    </w:pPr>
    <w:rPr>
      <w:rFonts w:ascii="Times New Roman" w:hAnsi="Times New Roman" w:eastAsia="黑体" w:cs="Times New Roman"/>
      <w:sz w:val="36"/>
      <w:szCs w:val="20"/>
    </w:rPr>
  </w:style>
  <w:style w:type="paragraph" w:styleId="4">
    <w:name w:val="Body Text 2"/>
    <w:basedOn w:val="1"/>
    <w:qFormat/>
    <w:uiPriority w:val="0"/>
    <w:pPr>
      <w:spacing w:line="480" w:lineRule="auto"/>
    </w:pPr>
    <w:rPr>
      <w:rFonts w:ascii="Times New Roman" w:hAnsi="Times New Roman" w:eastAsia="宋体" w:cs="Times New Roman"/>
    </w:rPr>
  </w:style>
  <w:style w:type="paragraph" w:styleId="5">
    <w:name w:val="Body Text Indent"/>
    <w:basedOn w:val="1"/>
    <w:next w:val="6"/>
    <w:qFormat/>
    <w:uiPriority w:val="0"/>
    <w:pPr>
      <w:spacing w:after="120"/>
      <w:ind w:left="420" w:leftChars="200"/>
    </w:pPr>
  </w:style>
  <w:style w:type="paragraph" w:styleId="6">
    <w:name w:val="envelope return"/>
    <w:basedOn w:val="1"/>
    <w:qFormat/>
    <w:uiPriority w:val="0"/>
    <w:pPr>
      <w:widowControl w:val="0"/>
      <w:snapToGrid w:val="0"/>
      <w:jc w:val="both"/>
    </w:pPr>
    <w:rPr>
      <w:rFonts w:ascii="Arial" w:hAnsi="Arial" w:eastAsia="宋体" w:cs="Times New Roman"/>
      <w:kern w:val="2"/>
      <w:sz w:val="21"/>
      <w:szCs w:val="22"/>
      <w:lang w:val="en-US" w:eastAsia="zh-CN" w:bidi="ar-SA"/>
    </w:rPr>
  </w:style>
  <w:style w:type="paragraph" w:styleId="7">
    <w:name w:val="Plain Text"/>
    <w:basedOn w:val="1"/>
    <w:qFormat/>
    <w:uiPriority w:val="0"/>
    <w:rPr>
      <w:sz w:val="24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11">
    <w:name w:val="Body Text First Indent"/>
    <w:basedOn w:val="3"/>
    <w:next w:val="12"/>
    <w:qFormat/>
    <w:uiPriority w:val="0"/>
    <w:pPr>
      <w:ind w:firstLine="420" w:firstLineChars="100"/>
    </w:pPr>
    <w:rPr>
      <w:rFonts w:ascii="宋体" w:hAnsi="Times New Roman" w:eastAsia="宋体" w:cs="Times New Roman"/>
      <w:kern w:val="0"/>
      <w:sz w:val="34"/>
      <w:szCs w:val="20"/>
    </w:rPr>
  </w:style>
  <w:style w:type="paragraph" w:styleId="12">
    <w:name w:val="Body Text First Indent 2"/>
    <w:basedOn w:val="5"/>
    <w:qFormat/>
    <w:uiPriority w:val="0"/>
    <w:pPr>
      <w:adjustRightInd w:val="0"/>
      <w:snapToGrid w:val="0"/>
      <w:spacing w:beforeAutospacing="1" w:afterAutospacing="1" w:line="360" w:lineRule="auto"/>
      <w:ind w:left="480" w:firstLine="562" w:firstLineChars="200"/>
      <w:jc w:val="left"/>
    </w:pPr>
    <w:rPr>
      <w:rFonts w:hint="eastAsia" w:ascii="仿宋_GB2312" w:hAnsi="仿宋_GB2312" w:cs="Times New Roman"/>
      <w:szCs w:val="30"/>
      <w:lang w:eastAsia="en-US"/>
    </w:rPr>
  </w:style>
  <w:style w:type="paragraph" w:customStyle="1" w:styleId="15">
    <w:name w:val="Body Text First Indent"/>
    <w:basedOn w:val="3"/>
    <w:qFormat/>
    <w:uiPriority w:val="0"/>
    <w:pPr>
      <w:adjustRightInd w:val="0"/>
      <w:spacing w:line="312" w:lineRule="atLeast"/>
      <w:ind w:firstLine="420"/>
      <w:textAlignment w:val="baseline"/>
    </w:pPr>
    <w:rPr>
      <w:kern w:val="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1768</Words>
  <Characters>1826</Characters>
  <Lines>0</Lines>
  <Paragraphs>0</Paragraphs>
  <TotalTime>0</TotalTime>
  <ScaleCrop>false</ScaleCrop>
  <LinksUpToDate>false</LinksUpToDate>
  <CharactersWithSpaces>1862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2025-10-17T00:22:00Z</dcterms:created>
  <dc:creator>小雨</dc:creator>
  <cp:lastModifiedBy>WPS_1658882146</cp:lastModifiedBy>
  <dcterms:modified xsi:type="dcterms:W3CDTF">2026-10-27T00:34:03Z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46393B396A4344419D36D6CC6E6617B3_13</vt:lpwstr>
  </property>
  <property fmtid="{D5CDD505-2E9C-101B-9397-08002B2CF9AE}" pid="4" name="KSOTemplateDocerSaveRecord">
    <vt:lpwstr>eyJoZGlkIjoiNTJkNDQxMTI2YTQxMzFiMTJmNDdjMmFmMGQ2ZjVlYmEiLCJ1c2VySWQiOiIzMTMxMDc2MjYifQ==</vt:lpwstr>
  </property>
</Properties>
</file>